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F327" w14:textId="77777777" w:rsidR="006308DD" w:rsidRPr="0069391C" w:rsidRDefault="00CE4C30" w:rsidP="006308DD">
      <w:pPr>
        <w:spacing w:after="0" w:line="240" w:lineRule="auto"/>
        <w:jc w:val="center"/>
        <w:rPr>
          <w:rFonts w:cstheme="minorHAnsi"/>
          <w:sz w:val="24"/>
          <w:szCs w:val="24"/>
        </w:rPr>
      </w:pPr>
      <w:bookmarkStart w:id="0" w:name="_Hlk176263571"/>
      <w:bookmarkStart w:id="1" w:name="_Hlk189491634"/>
      <w:bookmarkStart w:id="2" w:name="_Hlk177371779"/>
      <w:bookmarkStart w:id="3" w:name="_Hlk177299566"/>
      <w:bookmarkStart w:id="4" w:name="_Hlk177371808"/>
      <w:bookmarkStart w:id="5" w:name="_Toc256000003"/>
      <w:bookmarkEnd w:id="0"/>
      <w:r w:rsidRPr="003B67E0">
        <w:rPr>
          <w:rFonts w:cstheme="minorHAnsi"/>
          <w:noProof/>
          <w:lang w:eastAsia="cs-CZ"/>
        </w:rPr>
        <w:drawing>
          <wp:inline distT="0" distB="0" distL="0" distR="0" wp14:anchorId="42F7AF82" wp14:editId="3314E478">
            <wp:extent cx="828000" cy="713874"/>
            <wp:effectExtent l="0" t="0" r="0" b="0"/>
            <wp:docPr id="4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CZ-text01-transp-rgb72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8000" cy="713874"/>
                    </a:xfrm>
                    <a:prstGeom prst="rect">
                      <a:avLst/>
                    </a:prstGeom>
                    <a:noFill/>
                    <a:ln>
                      <a:noFill/>
                    </a:ln>
                  </pic:spPr>
                </pic:pic>
              </a:graphicData>
            </a:graphic>
          </wp:inline>
        </w:drawing>
      </w:r>
    </w:p>
    <w:p w14:paraId="2A541209" w14:textId="77777777" w:rsidR="00EB4349" w:rsidRDefault="00EB4349" w:rsidP="006308DD">
      <w:pPr>
        <w:spacing w:after="0" w:line="240" w:lineRule="auto"/>
        <w:jc w:val="center"/>
        <w:rPr>
          <w:rFonts w:cstheme="minorHAnsi"/>
          <w:b/>
          <w:sz w:val="24"/>
          <w:szCs w:val="24"/>
          <w:highlight w:val="yellow"/>
        </w:rPr>
      </w:pPr>
      <w:bookmarkStart w:id="6" w:name="_Hlk146007675"/>
    </w:p>
    <w:p w14:paraId="7644A833" w14:textId="77777777" w:rsidR="00EB4349" w:rsidRDefault="00EB4349" w:rsidP="006308DD">
      <w:pPr>
        <w:spacing w:after="0" w:line="240" w:lineRule="auto"/>
        <w:jc w:val="center"/>
        <w:rPr>
          <w:rFonts w:cstheme="minorHAnsi"/>
          <w:b/>
          <w:sz w:val="28"/>
          <w:szCs w:val="28"/>
        </w:rPr>
      </w:pPr>
    </w:p>
    <w:p w14:paraId="42F5B0ED" w14:textId="77777777" w:rsidR="006308DD" w:rsidRPr="006308DD" w:rsidRDefault="006308DD" w:rsidP="006308DD">
      <w:pPr>
        <w:spacing w:after="0" w:line="240" w:lineRule="auto"/>
        <w:jc w:val="center"/>
        <w:rPr>
          <w:rFonts w:cstheme="minorHAnsi"/>
          <w:b/>
          <w:sz w:val="32"/>
          <w:szCs w:val="32"/>
        </w:rPr>
      </w:pPr>
      <w:r w:rsidRPr="006308DD">
        <w:rPr>
          <w:rFonts w:cstheme="minorHAnsi"/>
          <w:b/>
          <w:sz w:val="28"/>
          <w:szCs w:val="28"/>
        </w:rPr>
        <w:t>Kontrolní závěr z kontrolní akce</w:t>
      </w:r>
    </w:p>
    <w:p w14:paraId="66914C70" w14:textId="77777777" w:rsidR="006308DD" w:rsidRPr="006308DD" w:rsidRDefault="006308DD" w:rsidP="006308DD">
      <w:pPr>
        <w:spacing w:after="0" w:line="240" w:lineRule="auto"/>
        <w:jc w:val="center"/>
        <w:rPr>
          <w:rFonts w:cstheme="minorHAnsi"/>
        </w:rPr>
      </w:pPr>
    </w:p>
    <w:p w14:paraId="6F2E4471" w14:textId="77777777" w:rsidR="006308DD" w:rsidRPr="006308DD" w:rsidRDefault="006308DD" w:rsidP="006308DD">
      <w:pPr>
        <w:spacing w:after="0" w:line="240" w:lineRule="auto"/>
        <w:jc w:val="center"/>
        <w:rPr>
          <w:rFonts w:cstheme="minorHAnsi"/>
          <w:b/>
          <w:sz w:val="28"/>
          <w:szCs w:val="28"/>
        </w:rPr>
      </w:pPr>
      <w:r w:rsidRPr="006308DD">
        <w:rPr>
          <w:rFonts w:cstheme="minorHAnsi"/>
          <w:b/>
          <w:sz w:val="28"/>
          <w:szCs w:val="28"/>
        </w:rPr>
        <w:t>2</w:t>
      </w:r>
      <w:r>
        <w:rPr>
          <w:rFonts w:cstheme="minorHAnsi"/>
          <w:b/>
          <w:sz w:val="28"/>
          <w:szCs w:val="28"/>
        </w:rPr>
        <w:t>4</w:t>
      </w:r>
      <w:r w:rsidRPr="006308DD">
        <w:rPr>
          <w:rFonts w:cstheme="minorHAnsi"/>
          <w:b/>
          <w:sz w:val="28"/>
          <w:szCs w:val="28"/>
        </w:rPr>
        <w:t>/</w:t>
      </w:r>
      <w:r w:rsidR="00437F51">
        <w:rPr>
          <w:rFonts w:cstheme="minorHAnsi"/>
          <w:b/>
          <w:sz w:val="28"/>
          <w:szCs w:val="28"/>
        </w:rPr>
        <w:t>1</w:t>
      </w:r>
      <w:r>
        <w:rPr>
          <w:rFonts w:cstheme="minorHAnsi"/>
          <w:b/>
          <w:sz w:val="28"/>
          <w:szCs w:val="28"/>
        </w:rPr>
        <w:t>1</w:t>
      </w:r>
    </w:p>
    <w:p w14:paraId="5D04A87F" w14:textId="77777777" w:rsidR="006308DD" w:rsidRPr="006308DD" w:rsidRDefault="006308DD" w:rsidP="006308DD">
      <w:pPr>
        <w:spacing w:after="0" w:line="240" w:lineRule="auto"/>
        <w:jc w:val="center"/>
        <w:rPr>
          <w:rFonts w:cstheme="minorHAnsi"/>
        </w:rPr>
      </w:pPr>
    </w:p>
    <w:p w14:paraId="16C0FD4F" w14:textId="77777777" w:rsidR="00437F51" w:rsidRPr="00437F51" w:rsidRDefault="00437F51" w:rsidP="00437F51">
      <w:pPr>
        <w:spacing w:line="252" w:lineRule="auto"/>
        <w:contextualSpacing/>
        <w:jc w:val="center"/>
        <w:rPr>
          <w:rFonts w:eastAsia="Calibri" w:cstheme="minorHAnsi"/>
          <w:b/>
          <w:color w:val="000000"/>
          <w:sz w:val="28"/>
          <w:szCs w:val="28"/>
          <w:lang w:eastAsia="cs-CZ"/>
        </w:rPr>
      </w:pPr>
      <w:r w:rsidRPr="00437F51">
        <w:rPr>
          <w:rFonts w:eastAsia="Calibri" w:cstheme="minorHAnsi"/>
          <w:b/>
          <w:color w:val="000000"/>
          <w:sz w:val="28"/>
          <w:szCs w:val="28"/>
          <w:lang w:eastAsia="cs-CZ"/>
        </w:rPr>
        <w:t xml:space="preserve">Peněžní prostředky určené na kontrolní vážení vozidel na dálnicích a silnicích I. třídy a příjmy Státního fondu dopravní infrastruktury z pokut uložených </w:t>
      </w:r>
      <w:r>
        <w:rPr>
          <w:rFonts w:eastAsia="Calibri" w:cstheme="minorHAnsi"/>
          <w:b/>
          <w:color w:val="000000"/>
          <w:sz w:val="28"/>
          <w:szCs w:val="28"/>
          <w:lang w:eastAsia="cs-CZ"/>
        </w:rPr>
        <w:br/>
      </w:r>
      <w:r w:rsidRPr="00437F51">
        <w:rPr>
          <w:rFonts w:eastAsia="Calibri" w:cstheme="minorHAnsi"/>
          <w:b/>
          <w:color w:val="000000"/>
          <w:sz w:val="28"/>
          <w:szCs w:val="28"/>
          <w:lang w:eastAsia="cs-CZ"/>
        </w:rPr>
        <w:t>v souvislosti s kontrolním vážením vozidel</w:t>
      </w:r>
    </w:p>
    <w:p w14:paraId="04C28C21" w14:textId="77777777" w:rsidR="006308DD" w:rsidRPr="006308DD" w:rsidRDefault="006308DD" w:rsidP="006308DD">
      <w:pPr>
        <w:pStyle w:val="Default"/>
        <w:spacing w:line="252" w:lineRule="auto"/>
        <w:contextualSpacing/>
        <w:jc w:val="both"/>
        <w:rPr>
          <w:rFonts w:asciiTheme="minorHAnsi" w:hAnsiTheme="minorHAnsi" w:cstheme="minorHAnsi"/>
        </w:rPr>
      </w:pPr>
    </w:p>
    <w:p w14:paraId="36868BF4" w14:textId="77777777" w:rsidR="006308DD" w:rsidRPr="006308DD" w:rsidRDefault="006308DD" w:rsidP="006308DD">
      <w:pPr>
        <w:pStyle w:val="KPnormalni"/>
        <w:spacing w:line="252" w:lineRule="auto"/>
        <w:contextualSpacing/>
        <w:rPr>
          <w:rFonts w:asciiTheme="minorHAnsi" w:hAnsiTheme="minorHAnsi" w:cstheme="minorHAnsi"/>
        </w:rPr>
      </w:pPr>
    </w:p>
    <w:p w14:paraId="62B3F1CB" w14:textId="77777777" w:rsidR="006308DD" w:rsidRPr="006308DD" w:rsidRDefault="006308DD" w:rsidP="006308DD">
      <w:pPr>
        <w:pStyle w:val="KPnormalni"/>
        <w:spacing w:line="252" w:lineRule="auto"/>
        <w:contextualSpacing/>
        <w:rPr>
          <w:rFonts w:asciiTheme="minorHAnsi" w:hAnsiTheme="minorHAnsi" w:cstheme="minorHAnsi"/>
        </w:rPr>
      </w:pPr>
      <w:r w:rsidRPr="006308DD">
        <w:rPr>
          <w:rFonts w:asciiTheme="minorHAnsi" w:hAnsiTheme="minorHAnsi" w:cstheme="minorHAnsi"/>
        </w:rPr>
        <w:t>Kontrolní akce byla zařazena do plánu kontrolní činnosti Nejvyššího kontrolního úřadu (dále také „NKÚ“) na rok 202</w:t>
      </w:r>
      <w:r>
        <w:rPr>
          <w:rFonts w:asciiTheme="minorHAnsi" w:hAnsiTheme="minorHAnsi" w:cstheme="minorHAnsi"/>
        </w:rPr>
        <w:t>4</w:t>
      </w:r>
      <w:r w:rsidRPr="006308DD">
        <w:rPr>
          <w:rFonts w:asciiTheme="minorHAnsi" w:hAnsiTheme="minorHAnsi" w:cstheme="minorHAnsi"/>
        </w:rPr>
        <w:t xml:space="preserve"> pod číslem 2</w:t>
      </w:r>
      <w:r>
        <w:rPr>
          <w:rFonts w:asciiTheme="minorHAnsi" w:hAnsiTheme="minorHAnsi" w:cstheme="minorHAnsi"/>
        </w:rPr>
        <w:t>4</w:t>
      </w:r>
      <w:r w:rsidRPr="006308DD">
        <w:rPr>
          <w:rFonts w:asciiTheme="minorHAnsi" w:hAnsiTheme="minorHAnsi" w:cstheme="minorHAnsi"/>
        </w:rPr>
        <w:t>/</w:t>
      </w:r>
      <w:r w:rsidR="00437F51">
        <w:rPr>
          <w:rFonts w:asciiTheme="minorHAnsi" w:hAnsiTheme="minorHAnsi" w:cstheme="minorHAnsi"/>
        </w:rPr>
        <w:t>1</w:t>
      </w:r>
      <w:r>
        <w:rPr>
          <w:rFonts w:asciiTheme="minorHAnsi" w:hAnsiTheme="minorHAnsi" w:cstheme="minorHAnsi"/>
        </w:rPr>
        <w:t>1</w:t>
      </w:r>
      <w:r w:rsidRPr="006308DD">
        <w:rPr>
          <w:rFonts w:asciiTheme="minorHAnsi" w:hAnsiTheme="minorHAnsi" w:cstheme="minorHAnsi"/>
        </w:rPr>
        <w:t xml:space="preserve">. Kontrolní akci řídil a kontrolní závěr vypracoval člen NKÚ Ing. Jan </w:t>
      </w:r>
      <w:proofErr w:type="spellStart"/>
      <w:r w:rsidRPr="006308DD">
        <w:rPr>
          <w:rFonts w:asciiTheme="minorHAnsi" w:hAnsiTheme="minorHAnsi" w:cstheme="minorHAnsi"/>
        </w:rPr>
        <w:t>Kinšt</w:t>
      </w:r>
      <w:proofErr w:type="spellEnd"/>
      <w:r w:rsidRPr="006308DD">
        <w:rPr>
          <w:rFonts w:asciiTheme="minorHAnsi" w:hAnsiTheme="minorHAnsi" w:cstheme="minorHAnsi"/>
        </w:rPr>
        <w:t>.</w:t>
      </w:r>
    </w:p>
    <w:p w14:paraId="2C4FF700" w14:textId="77777777" w:rsidR="006308DD" w:rsidRPr="006308DD" w:rsidRDefault="006308DD" w:rsidP="006308DD">
      <w:pPr>
        <w:pStyle w:val="KPnormalni"/>
        <w:spacing w:line="252" w:lineRule="auto"/>
        <w:contextualSpacing/>
        <w:rPr>
          <w:rFonts w:asciiTheme="minorHAnsi" w:hAnsiTheme="minorHAnsi" w:cstheme="minorHAnsi"/>
        </w:rPr>
      </w:pPr>
    </w:p>
    <w:p w14:paraId="12C39751" w14:textId="0E1ED73C" w:rsidR="00437F51" w:rsidRPr="00437F51" w:rsidRDefault="006308DD" w:rsidP="00437F51">
      <w:pPr>
        <w:spacing w:line="252" w:lineRule="auto"/>
        <w:contextualSpacing/>
        <w:jc w:val="both"/>
        <w:rPr>
          <w:rFonts w:cstheme="minorHAnsi"/>
          <w:sz w:val="24"/>
          <w:szCs w:val="24"/>
        </w:rPr>
      </w:pPr>
      <w:r w:rsidRPr="006308DD">
        <w:rPr>
          <w:rFonts w:cstheme="minorHAnsi"/>
          <w:sz w:val="24"/>
          <w:szCs w:val="24"/>
        </w:rPr>
        <w:t xml:space="preserve">Cílem kontroly bylo </w:t>
      </w:r>
      <w:r w:rsidR="00437F51" w:rsidRPr="00437F51">
        <w:rPr>
          <w:rFonts w:cstheme="minorHAnsi"/>
          <w:sz w:val="24"/>
          <w:szCs w:val="24"/>
        </w:rPr>
        <w:t xml:space="preserve">prověřit, zda peněžní prostředky určené na kontrolní vážení vozidel na dálnicích a silnicích I. třídy byly vynaloženy účelně, hospodárně, efektivně a v souladu </w:t>
      </w:r>
      <w:r w:rsidR="00437F51" w:rsidRPr="00437F51">
        <w:rPr>
          <w:rFonts w:cstheme="minorHAnsi"/>
          <w:sz w:val="24"/>
          <w:szCs w:val="24"/>
        </w:rPr>
        <w:br/>
        <w:t>s právními předpisy, a</w:t>
      </w:r>
      <w:r w:rsidR="00C60751">
        <w:rPr>
          <w:rFonts w:cstheme="minorHAnsi"/>
          <w:sz w:val="24"/>
          <w:szCs w:val="24"/>
        </w:rPr>
        <w:t xml:space="preserve"> </w:t>
      </w:r>
      <w:r w:rsidR="00437F51" w:rsidRPr="00437F51">
        <w:rPr>
          <w:rFonts w:cstheme="minorHAnsi"/>
          <w:sz w:val="24"/>
          <w:szCs w:val="24"/>
        </w:rPr>
        <w:t>prověřit příjmy Státního fondu dopravní infrastruktury z pokut uložených v souvislosti s kontrolním vážením vozidel.</w:t>
      </w:r>
    </w:p>
    <w:p w14:paraId="7490A982" w14:textId="77777777" w:rsidR="00437F51" w:rsidRDefault="00437F51" w:rsidP="00437F51">
      <w:pPr>
        <w:spacing w:after="0" w:line="252" w:lineRule="auto"/>
        <w:contextualSpacing/>
        <w:jc w:val="both"/>
        <w:rPr>
          <w:rFonts w:cstheme="minorHAnsi"/>
          <w:sz w:val="24"/>
          <w:szCs w:val="24"/>
        </w:rPr>
      </w:pPr>
    </w:p>
    <w:p w14:paraId="6CC3CB12" w14:textId="77777777" w:rsidR="00437F51" w:rsidRPr="00437F51" w:rsidRDefault="00437F51" w:rsidP="00437F51">
      <w:pPr>
        <w:spacing w:after="0" w:line="252" w:lineRule="auto"/>
        <w:contextualSpacing/>
        <w:jc w:val="both"/>
        <w:rPr>
          <w:rFonts w:cstheme="minorHAnsi"/>
          <w:sz w:val="24"/>
          <w:szCs w:val="24"/>
        </w:rPr>
      </w:pPr>
    </w:p>
    <w:p w14:paraId="2E5272A4" w14:textId="77777777" w:rsidR="006308DD" w:rsidRPr="006308DD" w:rsidRDefault="006308DD" w:rsidP="006308DD">
      <w:pPr>
        <w:spacing w:after="0" w:line="252" w:lineRule="auto"/>
        <w:contextualSpacing/>
        <w:jc w:val="both"/>
        <w:rPr>
          <w:rFonts w:cstheme="minorHAnsi"/>
          <w:b/>
          <w:sz w:val="24"/>
          <w:szCs w:val="24"/>
        </w:rPr>
      </w:pPr>
      <w:r w:rsidRPr="006308DD">
        <w:rPr>
          <w:rFonts w:cstheme="minorHAnsi"/>
          <w:b/>
          <w:sz w:val="24"/>
          <w:szCs w:val="24"/>
        </w:rPr>
        <w:t>Kontrolované osoby:</w:t>
      </w:r>
    </w:p>
    <w:p w14:paraId="2C04D638" w14:textId="77777777" w:rsidR="006308DD" w:rsidRPr="006308DD" w:rsidRDefault="006308DD" w:rsidP="006308DD">
      <w:pPr>
        <w:pStyle w:val="KPnormalni"/>
        <w:spacing w:line="252" w:lineRule="auto"/>
        <w:contextualSpacing/>
        <w:rPr>
          <w:rFonts w:asciiTheme="minorHAnsi" w:hAnsiTheme="minorHAnsi" w:cstheme="minorHAnsi"/>
        </w:rPr>
      </w:pPr>
      <w:r w:rsidRPr="006308DD">
        <w:rPr>
          <w:rFonts w:asciiTheme="minorHAnsi" w:hAnsiTheme="minorHAnsi" w:cstheme="minorHAnsi"/>
        </w:rPr>
        <w:t>Ministerstvo dopravy (dále také „MD“);</w:t>
      </w:r>
    </w:p>
    <w:p w14:paraId="509AF79D" w14:textId="5033DDF4" w:rsidR="006308DD" w:rsidRPr="00437F51" w:rsidRDefault="006308DD" w:rsidP="006308DD">
      <w:pPr>
        <w:pStyle w:val="KPnormalni"/>
        <w:spacing w:line="252" w:lineRule="auto"/>
        <w:contextualSpacing/>
        <w:rPr>
          <w:rFonts w:asciiTheme="minorHAnsi" w:hAnsiTheme="minorHAnsi" w:cstheme="minorHAnsi"/>
        </w:rPr>
      </w:pPr>
      <w:r w:rsidRPr="00437F51">
        <w:rPr>
          <w:rFonts w:asciiTheme="minorHAnsi" w:hAnsiTheme="minorHAnsi" w:cstheme="minorHAnsi"/>
        </w:rPr>
        <w:t>Státní fond dopravní infrastruktury</w:t>
      </w:r>
      <w:r w:rsidR="00232B41">
        <w:rPr>
          <w:rFonts w:asciiTheme="minorHAnsi" w:hAnsiTheme="minorHAnsi" w:cstheme="minorHAnsi"/>
        </w:rPr>
        <w:t>, Praha</w:t>
      </w:r>
      <w:r w:rsidRPr="00437F51">
        <w:rPr>
          <w:rFonts w:asciiTheme="minorHAnsi" w:hAnsiTheme="minorHAnsi" w:cstheme="minorHAnsi"/>
        </w:rPr>
        <w:t xml:space="preserve"> (dále také „SFDI</w:t>
      </w:r>
      <w:r w:rsidR="000B6B07">
        <w:rPr>
          <w:rFonts w:asciiTheme="minorHAnsi" w:hAnsiTheme="minorHAnsi" w:cstheme="minorHAnsi"/>
        </w:rPr>
        <w:t>“</w:t>
      </w:r>
      <w:r w:rsidRPr="00437F51">
        <w:rPr>
          <w:rFonts w:asciiTheme="minorHAnsi" w:hAnsiTheme="minorHAnsi" w:cstheme="minorHAnsi"/>
        </w:rPr>
        <w:t>);</w:t>
      </w:r>
    </w:p>
    <w:p w14:paraId="641A10A2" w14:textId="77B09708" w:rsidR="006308DD" w:rsidRDefault="00437F51" w:rsidP="006308DD">
      <w:pPr>
        <w:pStyle w:val="KPnormalni"/>
        <w:spacing w:line="252" w:lineRule="auto"/>
        <w:contextualSpacing/>
        <w:rPr>
          <w:rFonts w:asciiTheme="minorHAnsi" w:hAnsiTheme="minorHAnsi" w:cstheme="minorHAnsi"/>
        </w:rPr>
      </w:pPr>
      <w:bookmarkStart w:id="7" w:name="_Hlk198980332"/>
      <w:r>
        <w:rPr>
          <w:rFonts w:asciiTheme="minorHAnsi" w:hAnsiTheme="minorHAnsi" w:cstheme="minorHAnsi"/>
        </w:rPr>
        <w:t xml:space="preserve">Ředitelství silnic a dálnic </w:t>
      </w:r>
      <w:bookmarkEnd w:id="7"/>
      <w:r>
        <w:rPr>
          <w:rFonts w:asciiTheme="minorHAnsi" w:hAnsiTheme="minorHAnsi" w:cstheme="minorHAnsi"/>
        </w:rPr>
        <w:t>s.</w:t>
      </w:r>
      <w:r w:rsidR="008B7628">
        <w:rPr>
          <w:rFonts w:asciiTheme="minorHAnsi" w:hAnsiTheme="minorHAnsi" w:cstheme="minorHAnsi"/>
        </w:rPr>
        <w:t xml:space="preserve"> </w:t>
      </w:r>
      <w:r>
        <w:rPr>
          <w:rFonts w:asciiTheme="minorHAnsi" w:hAnsiTheme="minorHAnsi" w:cstheme="minorHAnsi"/>
        </w:rPr>
        <w:t xml:space="preserve">p. </w:t>
      </w:r>
      <w:r w:rsidRPr="006308DD">
        <w:rPr>
          <w:rFonts w:asciiTheme="minorHAnsi" w:hAnsiTheme="minorHAnsi" w:cstheme="minorHAnsi"/>
        </w:rPr>
        <w:t>(dále také „</w:t>
      </w:r>
      <w:r>
        <w:rPr>
          <w:rFonts w:asciiTheme="minorHAnsi" w:hAnsiTheme="minorHAnsi" w:cstheme="minorHAnsi"/>
        </w:rPr>
        <w:t>ŘSD“).</w:t>
      </w:r>
    </w:p>
    <w:p w14:paraId="56FD0572" w14:textId="77777777" w:rsidR="00437F51" w:rsidRPr="006308DD" w:rsidRDefault="00437F51" w:rsidP="006308DD">
      <w:pPr>
        <w:pStyle w:val="KPnormalni"/>
        <w:spacing w:line="252" w:lineRule="auto"/>
        <w:contextualSpacing/>
        <w:rPr>
          <w:rFonts w:asciiTheme="minorHAnsi" w:hAnsiTheme="minorHAnsi" w:cstheme="minorHAnsi"/>
        </w:rPr>
      </w:pPr>
    </w:p>
    <w:p w14:paraId="43C6C426" w14:textId="77777777" w:rsidR="006308DD" w:rsidRPr="006308DD" w:rsidRDefault="006308DD" w:rsidP="006308DD">
      <w:pPr>
        <w:pStyle w:val="KPnormalni"/>
        <w:spacing w:line="252" w:lineRule="auto"/>
        <w:contextualSpacing/>
        <w:rPr>
          <w:rFonts w:asciiTheme="minorHAnsi" w:hAnsiTheme="minorHAnsi" w:cstheme="minorHAnsi"/>
        </w:rPr>
      </w:pPr>
      <w:r w:rsidRPr="006308DD">
        <w:rPr>
          <w:rFonts w:asciiTheme="minorHAnsi" w:hAnsiTheme="minorHAnsi" w:cstheme="minorHAnsi"/>
        </w:rPr>
        <w:t>Kontrolováno bylo období od roku 201</w:t>
      </w:r>
      <w:r w:rsidR="00437F51">
        <w:rPr>
          <w:rFonts w:asciiTheme="minorHAnsi" w:hAnsiTheme="minorHAnsi" w:cstheme="minorHAnsi"/>
        </w:rPr>
        <w:t>9</w:t>
      </w:r>
      <w:r w:rsidRPr="006308DD">
        <w:rPr>
          <w:rFonts w:asciiTheme="minorHAnsi" w:hAnsiTheme="minorHAnsi" w:cstheme="minorHAnsi"/>
        </w:rPr>
        <w:t xml:space="preserve"> do roku 202</w:t>
      </w:r>
      <w:r w:rsidR="00437F51">
        <w:rPr>
          <w:rFonts w:asciiTheme="minorHAnsi" w:hAnsiTheme="minorHAnsi" w:cstheme="minorHAnsi"/>
        </w:rPr>
        <w:t>4</w:t>
      </w:r>
      <w:r w:rsidRPr="006308DD">
        <w:rPr>
          <w:rFonts w:asciiTheme="minorHAnsi" w:hAnsiTheme="minorHAnsi" w:cstheme="minorHAnsi"/>
        </w:rPr>
        <w:t>, v případě věcných souvislostí i období předcházející a následující.</w:t>
      </w:r>
    </w:p>
    <w:p w14:paraId="3B5FC890" w14:textId="77777777" w:rsidR="006308DD" w:rsidRPr="006308DD" w:rsidRDefault="006308DD" w:rsidP="006308DD">
      <w:pPr>
        <w:pStyle w:val="KPnormalni"/>
        <w:spacing w:line="252" w:lineRule="auto"/>
        <w:contextualSpacing/>
        <w:rPr>
          <w:rFonts w:asciiTheme="minorHAnsi" w:hAnsiTheme="minorHAnsi" w:cstheme="minorHAnsi"/>
        </w:rPr>
      </w:pPr>
    </w:p>
    <w:p w14:paraId="649DFF39" w14:textId="77777777" w:rsidR="006308DD" w:rsidRPr="006308DD" w:rsidRDefault="006308DD" w:rsidP="006308DD">
      <w:pPr>
        <w:pStyle w:val="KPnormalni"/>
        <w:spacing w:line="252" w:lineRule="auto"/>
        <w:contextualSpacing/>
        <w:rPr>
          <w:rFonts w:asciiTheme="minorHAnsi" w:hAnsiTheme="minorHAnsi" w:cstheme="minorHAnsi"/>
        </w:rPr>
      </w:pPr>
      <w:r w:rsidRPr="006308DD">
        <w:rPr>
          <w:rFonts w:asciiTheme="minorHAnsi" w:hAnsiTheme="minorHAnsi" w:cstheme="minorHAnsi"/>
        </w:rPr>
        <w:t xml:space="preserve">Kontrola byla prováděna u kontrolovaných osob v době od </w:t>
      </w:r>
      <w:r w:rsidR="00437F51">
        <w:rPr>
          <w:rFonts w:asciiTheme="minorHAnsi" w:hAnsiTheme="minorHAnsi" w:cstheme="minorHAnsi"/>
        </w:rPr>
        <w:t>června</w:t>
      </w:r>
      <w:r w:rsidRPr="006308DD">
        <w:rPr>
          <w:rFonts w:asciiTheme="minorHAnsi" w:hAnsiTheme="minorHAnsi" w:cstheme="minorHAnsi"/>
        </w:rPr>
        <w:t xml:space="preserve"> 202</w:t>
      </w:r>
      <w:r>
        <w:rPr>
          <w:rFonts w:asciiTheme="minorHAnsi" w:hAnsiTheme="minorHAnsi" w:cstheme="minorHAnsi"/>
        </w:rPr>
        <w:t>4</w:t>
      </w:r>
      <w:r w:rsidRPr="006308DD">
        <w:rPr>
          <w:rFonts w:asciiTheme="minorHAnsi" w:hAnsiTheme="minorHAnsi" w:cstheme="minorHAnsi"/>
        </w:rPr>
        <w:t xml:space="preserve"> do</w:t>
      </w:r>
      <w:r w:rsidR="00437F51">
        <w:rPr>
          <w:rFonts w:asciiTheme="minorHAnsi" w:hAnsiTheme="minorHAnsi" w:cstheme="minorHAnsi"/>
        </w:rPr>
        <w:t xml:space="preserve"> ledna</w:t>
      </w:r>
      <w:r w:rsidRPr="006308DD">
        <w:rPr>
          <w:rFonts w:asciiTheme="minorHAnsi" w:hAnsiTheme="minorHAnsi" w:cstheme="minorHAnsi"/>
        </w:rPr>
        <w:t xml:space="preserve"> 202</w:t>
      </w:r>
      <w:r w:rsidR="00437F51">
        <w:rPr>
          <w:rFonts w:asciiTheme="minorHAnsi" w:hAnsiTheme="minorHAnsi" w:cstheme="minorHAnsi"/>
        </w:rPr>
        <w:t>5</w:t>
      </w:r>
      <w:r w:rsidRPr="006308DD">
        <w:rPr>
          <w:rFonts w:asciiTheme="minorHAnsi" w:hAnsiTheme="minorHAnsi" w:cstheme="minorHAnsi"/>
        </w:rPr>
        <w:t>.</w:t>
      </w:r>
    </w:p>
    <w:bookmarkEnd w:id="6"/>
    <w:p w14:paraId="1C550F6B" w14:textId="77777777" w:rsidR="006308DD" w:rsidRPr="006308DD" w:rsidRDefault="006308DD" w:rsidP="006308DD">
      <w:pPr>
        <w:pStyle w:val="KPnormalni"/>
        <w:rPr>
          <w:rFonts w:asciiTheme="minorHAnsi" w:hAnsiTheme="minorHAnsi" w:cstheme="minorHAnsi"/>
        </w:rPr>
      </w:pPr>
    </w:p>
    <w:p w14:paraId="063D29F5" w14:textId="343A8FEA" w:rsidR="006308DD" w:rsidRPr="006308DD" w:rsidRDefault="006308DD" w:rsidP="006308DD">
      <w:pPr>
        <w:spacing w:line="240" w:lineRule="auto"/>
        <w:jc w:val="both"/>
        <w:rPr>
          <w:rFonts w:cstheme="minorHAnsi"/>
          <w:sz w:val="24"/>
          <w:szCs w:val="24"/>
        </w:rPr>
      </w:pPr>
      <w:r w:rsidRPr="006308DD">
        <w:rPr>
          <w:rFonts w:cstheme="minorHAnsi"/>
          <w:b/>
          <w:bCs/>
          <w:i/>
          <w:iCs/>
          <w:spacing w:val="60"/>
          <w:sz w:val="24"/>
          <w:szCs w:val="24"/>
        </w:rPr>
        <w:t>Kolegium</w:t>
      </w:r>
      <w:r w:rsidRPr="006308DD">
        <w:rPr>
          <w:rFonts w:cstheme="minorHAnsi"/>
          <w:b/>
          <w:bCs/>
          <w:i/>
          <w:iCs/>
          <w:sz w:val="24"/>
          <w:szCs w:val="24"/>
        </w:rPr>
        <w:t xml:space="preserve">   </w:t>
      </w:r>
      <w:r w:rsidRPr="006308DD">
        <w:rPr>
          <w:rFonts w:cstheme="minorHAnsi"/>
          <w:b/>
          <w:bCs/>
          <w:i/>
          <w:iCs/>
          <w:spacing w:val="60"/>
          <w:sz w:val="24"/>
          <w:szCs w:val="24"/>
        </w:rPr>
        <w:t>NKÚ</w:t>
      </w:r>
      <w:r w:rsidRPr="006308DD">
        <w:rPr>
          <w:rFonts w:cstheme="minorHAnsi"/>
          <w:sz w:val="24"/>
          <w:szCs w:val="24"/>
        </w:rPr>
        <w:t xml:space="preserve">   na svém </w:t>
      </w:r>
      <w:r w:rsidR="00302957">
        <w:rPr>
          <w:rFonts w:cstheme="minorHAnsi"/>
          <w:sz w:val="24"/>
          <w:szCs w:val="24"/>
        </w:rPr>
        <w:t>VII.</w:t>
      </w:r>
      <w:r w:rsidRPr="006308DD">
        <w:rPr>
          <w:rFonts w:cstheme="minorHAnsi"/>
          <w:sz w:val="24"/>
          <w:szCs w:val="24"/>
        </w:rPr>
        <w:t xml:space="preserve"> jednání, které se konalo dne </w:t>
      </w:r>
      <w:r w:rsidR="00302957">
        <w:rPr>
          <w:rFonts w:cstheme="minorHAnsi"/>
          <w:sz w:val="24"/>
          <w:szCs w:val="24"/>
        </w:rPr>
        <w:t>19. května 2025</w:t>
      </w:r>
      <w:r w:rsidRPr="006308DD">
        <w:rPr>
          <w:rFonts w:cstheme="minorHAnsi"/>
          <w:sz w:val="24"/>
          <w:szCs w:val="24"/>
        </w:rPr>
        <w:t>,</w:t>
      </w:r>
    </w:p>
    <w:p w14:paraId="737F4450" w14:textId="44050799" w:rsidR="006308DD" w:rsidRPr="006308DD" w:rsidRDefault="006308DD" w:rsidP="006308DD">
      <w:pPr>
        <w:spacing w:line="240" w:lineRule="auto"/>
        <w:jc w:val="both"/>
        <w:rPr>
          <w:rFonts w:cstheme="minorHAnsi"/>
          <w:sz w:val="24"/>
          <w:szCs w:val="24"/>
        </w:rPr>
      </w:pPr>
      <w:r w:rsidRPr="006308DD">
        <w:rPr>
          <w:rFonts w:cstheme="minorHAnsi"/>
          <w:b/>
          <w:bCs/>
          <w:i/>
          <w:iCs/>
          <w:spacing w:val="60"/>
          <w:sz w:val="24"/>
          <w:szCs w:val="24"/>
        </w:rPr>
        <w:t>schválilo</w:t>
      </w:r>
      <w:r w:rsidRPr="006308DD">
        <w:rPr>
          <w:rFonts w:cstheme="minorHAnsi"/>
          <w:sz w:val="24"/>
          <w:szCs w:val="24"/>
        </w:rPr>
        <w:t xml:space="preserve">   usnesením č. </w:t>
      </w:r>
      <w:r w:rsidR="00653336">
        <w:rPr>
          <w:rFonts w:cstheme="minorHAnsi"/>
          <w:sz w:val="24"/>
          <w:szCs w:val="24"/>
        </w:rPr>
        <w:t>5</w:t>
      </w:r>
      <w:r w:rsidR="00302957">
        <w:rPr>
          <w:rFonts w:cstheme="minorHAnsi"/>
          <w:sz w:val="24"/>
          <w:szCs w:val="24"/>
        </w:rPr>
        <w:t>/VII/2025</w:t>
      </w:r>
    </w:p>
    <w:p w14:paraId="746CA69F" w14:textId="77777777" w:rsidR="006308DD" w:rsidRPr="006308DD" w:rsidRDefault="006308DD" w:rsidP="006308DD">
      <w:pPr>
        <w:spacing w:line="240" w:lineRule="auto"/>
        <w:jc w:val="both"/>
        <w:rPr>
          <w:rFonts w:cstheme="minorHAnsi"/>
          <w:sz w:val="24"/>
          <w:szCs w:val="24"/>
        </w:rPr>
      </w:pPr>
      <w:r w:rsidRPr="006308DD">
        <w:rPr>
          <w:rFonts w:cstheme="minorHAnsi"/>
          <w:b/>
          <w:bCs/>
          <w:i/>
          <w:iCs/>
          <w:spacing w:val="60"/>
          <w:sz w:val="24"/>
          <w:szCs w:val="24"/>
        </w:rPr>
        <w:t>kontrolní</w:t>
      </w:r>
      <w:r w:rsidRPr="006308DD">
        <w:rPr>
          <w:rFonts w:cstheme="minorHAnsi"/>
          <w:b/>
          <w:bCs/>
          <w:i/>
          <w:iCs/>
          <w:sz w:val="24"/>
          <w:szCs w:val="24"/>
        </w:rPr>
        <w:t xml:space="preserve">   </w:t>
      </w:r>
      <w:r w:rsidRPr="006308DD">
        <w:rPr>
          <w:rFonts w:cstheme="minorHAnsi"/>
          <w:b/>
          <w:bCs/>
          <w:i/>
          <w:iCs/>
          <w:spacing w:val="60"/>
          <w:sz w:val="24"/>
          <w:szCs w:val="24"/>
        </w:rPr>
        <w:t>závěr</w:t>
      </w:r>
      <w:r w:rsidRPr="006308DD">
        <w:rPr>
          <w:rFonts w:cstheme="minorHAnsi"/>
          <w:sz w:val="24"/>
          <w:szCs w:val="24"/>
        </w:rPr>
        <w:t xml:space="preserve">   v tomto znění:</w:t>
      </w:r>
    </w:p>
    <w:p w14:paraId="074121D1" w14:textId="77777777" w:rsidR="006308DD" w:rsidRPr="006308DD" w:rsidRDefault="006308DD" w:rsidP="006308DD">
      <w:pPr>
        <w:rPr>
          <w:rFonts w:cstheme="minorHAnsi"/>
          <w:sz w:val="24"/>
          <w:szCs w:val="24"/>
        </w:rPr>
      </w:pPr>
      <w:r w:rsidRPr="006308DD">
        <w:rPr>
          <w:rFonts w:cstheme="minorHAnsi"/>
          <w:sz w:val="24"/>
          <w:szCs w:val="24"/>
        </w:rPr>
        <w:br w:type="page"/>
      </w:r>
    </w:p>
    <w:p w14:paraId="68BB12BC" w14:textId="77777777" w:rsidR="004E39B0" w:rsidRDefault="004E39B0" w:rsidP="003A306E">
      <w:pPr>
        <w:spacing w:after="360" w:line="252" w:lineRule="auto"/>
        <w:jc w:val="center"/>
        <w:rPr>
          <w:rFonts w:eastAsia="Calibri" w:cstheme="minorHAnsi"/>
          <w:b/>
          <w:color w:val="000000"/>
          <w:sz w:val="28"/>
          <w:szCs w:val="28"/>
          <w:lang w:eastAsia="cs-CZ"/>
        </w:rPr>
      </w:pPr>
      <w:bookmarkStart w:id="8" w:name="_Hlk189541724"/>
      <w:bookmarkStart w:id="9" w:name="_Hlk189637024"/>
      <w:bookmarkStart w:id="10" w:name="_Hlk189634007"/>
      <w:bookmarkEnd w:id="1"/>
      <w:bookmarkEnd w:id="2"/>
      <w:bookmarkEnd w:id="3"/>
      <w:bookmarkEnd w:id="4"/>
      <w:bookmarkEnd w:id="5"/>
      <w:r w:rsidRPr="00437F51">
        <w:rPr>
          <w:rFonts w:eastAsia="Calibri" w:cstheme="minorHAnsi"/>
          <w:b/>
          <w:color w:val="000000"/>
          <w:sz w:val="28"/>
          <w:szCs w:val="28"/>
          <w:lang w:eastAsia="cs-CZ"/>
        </w:rPr>
        <w:lastRenderedPageBreak/>
        <w:t xml:space="preserve">Peněžní prostředky určené na kontrolní vážení vozidel na dálnicích a silnicích I. třídy a příjmy Státního fondu dopravní infrastruktury z pokut uložených </w:t>
      </w:r>
      <w:r>
        <w:rPr>
          <w:rFonts w:eastAsia="Calibri" w:cstheme="minorHAnsi"/>
          <w:b/>
          <w:color w:val="000000"/>
          <w:sz w:val="28"/>
          <w:szCs w:val="28"/>
          <w:lang w:eastAsia="cs-CZ"/>
        </w:rPr>
        <w:br/>
      </w:r>
      <w:r w:rsidRPr="00437F51">
        <w:rPr>
          <w:rFonts w:eastAsia="Calibri" w:cstheme="minorHAnsi"/>
          <w:b/>
          <w:color w:val="000000"/>
          <w:sz w:val="28"/>
          <w:szCs w:val="28"/>
          <w:lang w:eastAsia="cs-CZ"/>
        </w:rPr>
        <w:t>v souvislosti s kontrolním vážením vozidel</w:t>
      </w:r>
    </w:p>
    <w:p w14:paraId="6BCA9EE5" w14:textId="77777777" w:rsidR="00D7684D" w:rsidRDefault="00D7684D" w:rsidP="004E39B0">
      <w:pPr>
        <w:spacing w:line="252" w:lineRule="auto"/>
        <w:contextualSpacing/>
        <w:jc w:val="center"/>
        <w:rPr>
          <w:rFonts w:eastAsia="Calibri" w:cstheme="minorHAnsi"/>
          <w:b/>
          <w:color w:val="000000"/>
          <w:sz w:val="28"/>
          <w:szCs w:val="28"/>
          <w:lang w:eastAsia="cs-CZ"/>
        </w:rPr>
      </w:pPr>
    </w:p>
    <w:p w14:paraId="573EA6E9" w14:textId="75FB8E5D" w:rsidR="00D7684D" w:rsidRPr="00DA49C3" w:rsidRDefault="00C13145" w:rsidP="00D7684D">
      <w:pPr>
        <w:tabs>
          <w:tab w:val="left" w:pos="1115"/>
        </w:tabs>
        <w:ind w:left="1416" w:hanging="1416"/>
        <w:jc w:val="center"/>
        <w:rPr>
          <w:rFonts w:ascii="Calibri" w:hAnsi="Calibri" w:cs="Calibri"/>
          <w:caps/>
        </w:rPr>
      </w:pPr>
      <w:r w:rsidRPr="00DA49C3">
        <w:rPr>
          <w:rFonts w:ascii="Calibri" w:hAnsi="Calibri" w:cs="Calibri"/>
          <w:noProof/>
          <w:sz w:val="28"/>
          <w:lang w:eastAsia="cs-CZ"/>
        </w:rPr>
        <mc:AlternateContent>
          <mc:Choice Requires="wps">
            <w:drawing>
              <wp:anchor distT="0" distB="0" distL="114300" distR="114300" simplePos="0" relativeHeight="251660288" behindDoc="0" locked="0" layoutInCell="1" allowOverlap="1" wp14:anchorId="1E970234" wp14:editId="352BD316">
                <wp:simplePos x="0" y="0"/>
                <wp:positionH relativeFrom="margin">
                  <wp:align>right</wp:align>
                </wp:positionH>
                <wp:positionV relativeFrom="paragraph">
                  <wp:posOffset>106045</wp:posOffset>
                </wp:positionV>
                <wp:extent cx="2278800"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227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EDA7D3" id="Přímá spojnice 7"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28.25pt,8.35pt" to="30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" strokecolor="black [3213]" strokeweight=".5pt">
                <v:stroke joinstyle="miter"/>
                <w10:wrap anchorx="margin"/>
              </v:line>
            </w:pict>
          </mc:Fallback>
        </mc:AlternateContent>
      </w:r>
      <w:r w:rsidR="00D7684D" w:rsidRPr="00DA49C3">
        <w:rPr>
          <w:rFonts w:ascii="Calibri" w:hAnsi="Calibri" w:cs="Calibri"/>
          <w:noProof/>
          <w:sz w:val="28"/>
          <w:lang w:eastAsia="cs-CZ"/>
        </w:rPr>
        <mc:AlternateContent>
          <mc:Choice Requires="wps">
            <w:drawing>
              <wp:anchor distT="0" distB="0" distL="114300" distR="114300" simplePos="0" relativeHeight="251659264" behindDoc="0" locked="0" layoutInCell="1" allowOverlap="1" wp14:anchorId="438DAC0E" wp14:editId="110826C0">
                <wp:simplePos x="0" y="0"/>
                <wp:positionH relativeFrom="column">
                  <wp:posOffset>-29845</wp:posOffset>
                </wp:positionH>
                <wp:positionV relativeFrom="paragraph">
                  <wp:posOffset>92710</wp:posOffset>
                </wp:positionV>
                <wp:extent cx="2354400" cy="0"/>
                <wp:effectExtent l="0" t="0" r="0" b="0"/>
                <wp:wrapNone/>
                <wp:docPr id="8" name="Přímá spojnice 8"/>
                <wp:cNvGraphicFramePr/>
                <a:graphic xmlns:a="http://schemas.openxmlformats.org/drawingml/2006/main">
                  <a:graphicData uri="http://schemas.microsoft.com/office/word/2010/wordprocessingShape">
                    <wps:wsp>
                      <wps:cNvCnPr/>
                      <wps:spPr>
                        <a:xfrm>
                          <a:off x="0" y="0"/>
                          <a:ext cx="235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F0ED9" id="Přímá spojnic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3pt" to="183.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" strokecolor="black [3213]" strokeweight=".5pt">
                <v:stroke joinstyle="miter"/>
              </v:line>
            </w:pict>
          </mc:Fallback>
        </mc:AlternateContent>
      </w:r>
      <w:r w:rsidR="00D7684D" w:rsidRPr="00DA49C3">
        <w:rPr>
          <w:rFonts w:ascii="Calibri" w:hAnsi="Calibri" w:cs="Calibri"/>
          <w:caps/>
        </w:rPr>
        <w:t xml:space="preserve"> </w:t>
      </w:r>
      <w:r w:rsidR="00D7684D">
        <w:rPr>
          <w:rFonts w:ascii="Calibri" w:hAnsi="Calibri" w:cs="Calibri"/>
          <w:caps/>
        </w:rPr>
        <w:t xml:space="preserve">ZÁKLADNÍ </w:t>
      </w:r>
      <w:r w:rsidR="00D7684D" w:rsidRPr="00DA49C3">
        <w:rPr>
          <w:rFonts w:ascii="Calibri" w:hAnsi="Calibri" w:cs="Calibri"/>
          <w:caps/>
        </w:rPr>
        <w:t xml:space="preserve">fakta </w:t>
      </w:r>
    </w:p>
    <w:p w14:paraId="19960BE4" w14:textId="35D8A028" w:rsidR="00D7684D" w:rsidRDefault="00D7684D" w:rsidP="00D7684D">
      <w:pPr>
        <w:spacing w:after="0" w:line="240" w:lineRule="auto"/>
        <w:jc w:val="both"/>
        <w:rPr>
          <w:rFonts w:ascii="Calibri" w:hAnsi="Calibri" w:cs="Calibri"/>
          <w:b/>
          <w:sz w:val="24"/>
        </w:rPr>
      </w:pPr>
      <w:r w:rsidRPr="00D7684D">
        <w:rPr>
          <w:rFonts w:ascii="Calibri" w:hAnsi="Calibri" w:cs="Calibri"/>
          <w:b/>
          <w:sz w:val="24"/>
        </w:rPr>
        <w:t xml:space="preserve">Kontrolní vážení vozidel bylo v České republice zavedeno v roce 2000. Prováděno je mobilními </w:t>
      </w:r>
      <w:proofErr w:type="spellStart"/>
      <w:r w:rsidRPr="00D7684D">
        <w:rPr>
          <w:rFonts w:ascii="Calibri" w:hAnsi="Calibri" w:cs="Calibri"/>
          <w:b/>
          <w:sz w:val="24"/>
        </w:rPr>
        <w:t>nízkorychlostními</w:t>
      </w:r>
      <w:proofErr w:type="spellEnd"/>
      <w:r w:rsidRPr="00D7684D">
        <w:rPr>
          <w:rFonts w:ascii="Calibri" w:hAnsi="Calibri" w:cs="Calibri"/>
          <w:b/>
          <w:sz w:val="24"/>
        </w:rPr>
        <w:t xml:space="preserve"> váhami a od roku 2020 na dálnicích i vysokorychlostními váhami zabudovanými do vozovky. </w:t>
      </w:r>
      <w:r w:rsidR="00832355" w:rsidRPr="00D7684D">
        <w:rPr>
          <w:rFonts w:ascii="Calibri" w:hAnsi="Calibri" w:cs="Calibri"/>
          <w:b/>
          <w:sz w:val="24"/>
        </w:rPr>
        <w:t>M</w:t>
      </w:r>
      <w:r w:rsidR="00832355">
        <w:rPr>
          <w:rFonts w:ascii="Calibri" w:hAnsi="Calibri" w:cs="Calibri"/>
          <w:b/>
          <w:sz w:val="24"/>
        </w:rPr>
        <w:t>á</w:t>
      </w:r>
      <w:r w:rsidR="00832355" w:rsidRPr="00D7684D">
        <w:rPr>
          <w:rFonts w:ascii="Calibri" w:hAnsi="Calibri" w:cs="Calibri"/>
          <w:b/>
          <w:sz w:val="24"/>
        </w:rPr>
        <w:t xml:space="preserve"> </w:t>
      </w:r>
      <w:r w:rsidRPr="00D7684D">
        <w:rPr>
          <w:rFonts w:ascii="Calibri" w:hAnsi="Calibri" w:cs="Calibri"/>
          <w:b/>
          <w:sz w:val="24"/>
        </w:rPr>
        <w:t>především zajistit ochranu dopravní infrastruktury před jejím poškozováním jízdami přetížených vozidel.</w:t>
      </w:r>
    </w:p>
    <w:p w14:paraId="2C52FC1A" w14:textId="77777777" w:rsidR="003A306E" w:rsidRPr="00D7684D" w:rsidRDefault="003A306E" w:rsidP="002F0FE5">
      <w:pPr>
        <w:spacing w:after="0" w:line="240" w:lineRule="auto"/>
        <w:jc w:val="both"/>
        <w:rPr>
          <w:rFonts w:ascii="Calibri" w:hAnsi="Calibri" w:cs="Calibri"/>
          <w:b/>
          <w:sz w:val="24"/>
        </w:rPr>
      </w:pPr>
    </w:p>
    <w:p w14:paraId="069E35DC" w14:textId="77777777" w:rsidR="00D7684D" w:rsidRDefault="00D7684D" w:rsidP="002F0FE5">
      <w:pPr>
        <w:pStyle w:val="NormlnKZ"/>
        <w:spacing w:after="0"/>
        <w:ind w:firstLine="0"/>
        <w:rPr>
          <w:rFonts w:asciiTheme="minorHAnsi" w:hAnsiTheme="minorHAnsi" w:cstheme="minorHAnsi"/>
          <w:b/>
          <w:color w:val="auto"/>
        </w:rPr>
      </w:pPr>
    </w:p>
    <w:p w14:paraId="7E84E62D" w14:textId="77777777" w:rsidR="00D7684D" w:rsidRPr="00DA49C3" w:rsidRDefault="00D7684D" w:rsidP="00D7684D">
      <w:pPr>
        <w:tabs>
          <w:tab w:val="left" w:pos="1115"/>
        </w:tabs>
        <w:ind w:left="1416" w:hanging="1416"/>
        <w:jc w:val="center"/>
        <w:rPr>
          <w:rFonts w:ascii="Calibri" w:hAnsi="Calibri" w:cs="Calibri"/>
          <w:caps/>
        </w:rPr>
      </w:pPr>
      <w:r w:rsidRPr="00DA49C3">
        <w:rPr>
          <w:rFonts w:ascii="Calibri" w:hAnsi="Calibri" w:cs="Calibri"/>
          <w:noProof/>
          <w:sz w:val="28"/>
          <w:lang w:eastAsia="cs-CZ"/>
        </w:rPr>
        <mc:AlternateContent>
          <mc:Choice Requires="wps">
            <w:drawing>
              <wp:anchor distT="0" distB="0" distL="114300" distR="114300" simplePos="0" relativeHeight="251662336" behindDoc="0" locked="0" layoutInCell="1" allowOverlap="1" wp14:anchorId="7B84BD3B" wp14:editId="1272253D">
                <wp:simplePos x="0" y="0"/>
                <wp:positionH relativeFrom="margin">
                  <wp:align>right</wp:align>
                </wp:positionH>
                <wp:positionV relativeFrom="paragraph">
                  <wp:posOffset>99560</wp:posOffset>
                </wp:positionV>
                <wp:extent cx="212400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70E8CB" id="Přímá spojnice 6"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16.05pt,7.85pt" to="283.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ETsQEAANQDAAAOAAAAZHJzL2Uyb0RvYy54bWysU01v2zAMvQ/YfxB0X2QHwz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" strokecolor="black [3213]" strokeweight=".5pt">
                <v:stroke joinstyle="miter"/>
                <w10:wrap anchorx="margin"/>
              </v:line>
            </w:pict>
          </mc:Fallback>
        </mc:AlternateContent>
      </w:r>
      <w:r w:rsidRPr="00DA49C3">
        <w:rPr>
          <w:rFonts w:ascii="Calibri" w:hAnsi="Calibri" w:cs="Calibri"/>
          <w:noProof/>
          <w:sz w:val="28"/>
          <w:lang w:eastAsia="cs-CZ"/>
        </w:rPr>
        <mc:AlternateContent>
          <mc:Choice Requires="wps">
            <w:drawing>
              <wp:anchor distT="0" distB="0" distL="114300" distR="114300" simplePos="0" relativeHeight="251661312" behindDoc="0" locked="0" layoutInCell="1" allowOverlap="1" wp14:anchorId="2CD40991" wp14:editId="367D7CB5">
                <wp:simplePos x="0" y="0"/>
                <wp:positionH relativeFrom="column">
                  <wp:posOffset>-29845</wp:posOffset>
                </wp:positionH>
                <wp:positionV relativeFrom="paragraph">
                  <wp:posOffset>92710</wp:posOffset>
                </wp:positionV>
                <wp:extent cx="216000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143D0"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3pt" to="16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" strokecolor="black [3213]" strokeweight=".5pt">
                <v:stroke joinstyle="miter"/>
              </v:line>
            </w:pict>
          </mc:Fallback>
        </mc:AlternateContent>
      </w:r>
      <w:r>
        <w:rPr>
          <w:rFonts w:ascii="Calibri" w:hAnsi="Calibri" w:cs="Calibri"/>
          <w:caps/>
        </w:rPr>
        <w:t>Zjištěné skutečnosti</w:t>
      </w:r>
      <w:r w:rsidRPr="00DA49C3">
        <w:rPr>
          <w:rFonts w:ascii="Calibri" w:hAnsi="Calibri" w:cs="Calibri"/>
          <w:caps/>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68"/>
        <w:gridCol w:w="6794"/>
      </w:tblGrid>
      <w:tr w:rsidR="00D7684D" w:rsidRPr="00C90F69" w14:paraId="35CC68A2" w14:textId="77777777" w:rsidTr="003A306E">
        <w:tc>
          <w:tcPr>
            <w:tcW w:w="2268" w:type="dxa"/>
            <w:vAlign w:val="center"/>
          </w:tcPr>
          <w:p w14:paraId="4B7F4176" w14:textId="77777777" w:rsidR="00D7684D" w:rsidRPr="001C2B1A" w:rsidRDefault="00D7684D" w:rsidP="00143F0B">
            <w:pPr>
              <w:pStyle w:val="NormlnKZ"/>
              <w:spacing w:after="0"/>
              <w:ind w:firstLine="0"/>
              <w:jc w:val="center"/>
              <w:rPr>
                <w:rFonts w:asciiTheme="minorHAnsi" w:hAnsiTheme="minorHAnsi" w:cstheme="minorHAnsi"/>
                <w:b/>
                <w:color w:val="AF1953"/>
                <w:sz w:val="32"/>
              </w:rPr>
            </w:pPr>
            <w:r w:rsidRPr="00D7684D">
              <w:rPr>
                <w:rFonts w:asciiTheme="minorHAnsi" w:hAnsiTheme="minorHAnsi" w:cstheme="minorHAnsi"/>
                <w:b/>
                <w:color w:val="AF1953"/>
                <w:sz w:val="32"/>
              </w:rPr>
              <w:t>73 500 mil. Kč</w:t>
            </w:r>
          </w:p>
        </w:tc>
        <w:tc>
          <w:tcPr>
            <w:tcW w:w="6794" w:type="dxa"/>
          </w:tcPr>
          <w:p w14:paraId="6BFF221B" w14:textId="7048732D" w:rsidR="00D7684D" w:rsidRPr="001209FF" w:rsidRDefault="00BB16B0" w:rsidP="00143F0B">
            <w:pPr>
              <w:pStyle w:val="NormlnKZ"/>
              <w:spacing w:after="0"/>
              <w:ind w:firstLine="0"/>
              <w:rPr>
                <w:rFonts w:asciiTheme="minorHAnsi" w:hAnsiTheme="minorHAnsi" w:cstheme="minorHAnsi"/>
                <w:color w:val="auto"/>
              </w:rPr>
            </w:pPr>
            <w:r w:rsidRPr="003A306E">
              <w:rPr>
                <w:rFonts w:asciiTheme="minorHAnsi" w:hAnsiTheme="minorHAnsi" w:cstheme="minorHAnsi"/>
                <w:b/>
                <w:color w:val="auto"/>
              </w:rPr>
              <w:t xml:space="preserve">Na opravy a údržbu dálnic a silnic I. třídy stát v období let </w:t>
            </w:r>
            <w:r w:rsidR="00143F0B">
              <w:rPr>
                <w:rFonts w:asciiTheme="minorHAnsi" w:hAnsiTheme="minorHAnsi" w:cstheme="minorHAnsi"/>
                <w:b/>
                <w:color w:val="auto"/>
              </w:rPr>
              <w:br/>
            </w:r>
            <w:r w:rsidRPr="00621A5C">
              <w:rPr>
                <w:rFonts w:asciiTheme="minorHAnsi" w:hAnsiTheme="minorHAnsi" w:cstheme="minorHAnsi"/>
                <w:b/>
                <w:color w:val="auto"/>
              </w:rPr>
              <w:t>2019</w:t>
            </w:r>
            <w:r w:rsidR="00F70B52">
              <w:rPr>
                <w:rFonts w:asciiTheme="minorHAnsi" w:hAnsiTheme="minorHAnsi" w:cstheme="minorHAnsi"/>
                <w:b/>
              </w:rPr>
              <w:t>–</w:t>
            </w:r>
            <w:r w:rsidRPr="00621A5C">
              <w:rPr>
                <w:rFonts w:asciiTheme="minorHAnsi" w:hAnsiTheme="minorHAnsi" w:cstheme="minorHAnsi"/>
                <w:b/>
                <w:color w:val="auto"/>
              </w:rPr>
              <w:t>202</w:t>
            </w:r>
            <w:r w:rsidRPr="003A306E">
              <w:rPr>
                <w:rFonts w:asciiTheme="minorHAnsi" w:hAnsiTheme="minorHAnsi" w:cstheme="minorHAnsi"/>
                <w:b/>
                <w:color w:val="auto"/>
              </w:rPr>
              <w:t>3 vynaložil celkem 73 500 mil. Kč.</w:t>
            </w:r>
            <w:r>
              <w:rPr>
                <w:rFonts w:asciiTheme="minorHAnsi" w:hAnsiTheme="minorHAnsi" w:cstheme="minorHAnsi"/>
                <w:b/>
                <w:color w:val="auto"/>
              </w:rPr>
              <w:t xml:space="preserve"> </w:t>
            </w:r>
            <w:r w:rsidR="00D7684D" w:rsidRPr="001209FF">
              <w:rPr>
                <w:rFonts w:asciiTheme="minorHAnsi" w:hAnsiTheme="minorHAnsi" w:cstheme="minorHAnsi"/>
                <w:color w:val="auto"/>
              </w:rPr>
              <w:t xml:space="preserve">Jízdy přetížených vozidel se významně podílejí na vzniku škod na dopravní infrastruktuře. </w:t>
            </w:r>
          </w:p>
        </w:tc>
      </w:tr>
      <w:tr w:rsidR="00D7684D" w:rsidRPr="00C90F69" w14:paraId="4E75DA2A" w14:textId="77777777" w:rsidTr="003A306E">
        <w:tc>
          <w:tcPr>
            <w:tcW w:w="2268" w:type="dxa"/>
            <w:vAlign w:val="center"/>
          </w:tcPr>
          <w:p w14:paraId="41BA9E36" w14:textId="77777777" w:rsidR="00D7684D" w:rsidRPr="001C2B1A" w:rsidRDefault="00D7684D" w:rsidP="00143F0B">
            <w:pPr>
              <w:pStyle w:val="NormlnKZ"/>
              <w:spacing w:after="0"/>
              <w:ind w:firstLine="0"/>
              <w:jc w:val="center"/>
              <w:rPr>
                <w:rFonts w:asciiTheme="minorHAnsi" w:hAnsiTheme="minorHAnsi" w:cstheme="minorHAnsi"/>
                <w:b/>
                <w:color w:val="AF1953"/>
                <w:sz w:val="32"/>
              </w:rPr>
            </w:pPr>
            <w:r w:rsidRPr="00D7684D">
              <w:rPr>
                <w:rFonts w:asciiTheme="minorHAnsi" w:hAnsiTheme="minorHAnsi" w:cstheme="minorHAnsi"/>
                <w:b/>
                <w:color w:val="AF1953"/>
                <w:sz w:val="32"/>
              </w:rPr>
              <w:t>495 707</w:t>
            </w:r>
          </w:p>
        </w:tc>
        <w:tc>
          <w:tcPr>
            <w:tcW w:w="6794" w:type="dxa"/>
          </w:tcPr>
          <w:p w14:paraId="2F544207" w14:textId="126D6E83" w:rsidR="00D7684D" w:rsidRPr="001209FF" w:rsidRDefault="00D7684D" w:rsidP="00143F0B">
            <w:pPr>
              <w:jc w:val="both"/>
              <w:rPr>
                <w:rFonts w:cstheme="minorHAnsi"/>
                <w:sz w:val="24"/>
                <w:szCs w:val="24"/>
              </w:rPr>
            </w:pPr>
            <w:r w:rsidRPr="003A306E">
              <w:rPr>
                <w:rFonts w:cstheme="minorHAnsi"/>
                <w:b/>
                <w:sz w:val="24"/>
                <w:szCs w:val="24"/>
              </w:rPr>
              <w:t>Počet jízd přetížených vozidel je vysoký.</w:t>
            </w:r>
            <w:r w:rsidRPr="001209FF">
              <w:rPr>
                <w:rFonts w:cstheme="minorHAnsi"/>
                <w:sz w:val="24"/>
                <w:szCs w:val="24"/>
              </w:rPr>
              <w:t xml:space="preserve"> Od ledna 2020 do října 2024 bylo vysokorychlostními váhami zjištěno celkem </w:t>
            </w:r>
            <w:r w:rsidR="00143F0B">
              <w:rPr>
                <w:rFonts w:cstheme="minorHAnsi"/>
                <w:sz w:val="24"/>
                <w:szCs w:val="24"/>
              </w:rPr>
              <w:br/>
            </w:r>
            <w:r w:rsidRPr="001209FF">
              <w:rPr>
                <w:rFonts w:cstheme="minorHAnsi"/>
                <w:sz w:val="24"/>
                <w:szCs w:val="24"/>
              </w:rPr>
              <w:t>495 707 vážních deliktů</w:t>
            </w:r>
            <w:r w:rsidR="00CE08F5">
              <w:rPr>
                <w:rStyle w:val="Znakapoznpodarou"/>
                <w:rFonts w:cstheme="minorHAnsi"/>
                <w:sz w:val="24"/>
                <w:szCs w:val="24"/>
              </w:rPr>
              <w:footnoteReference w:id="1"/>
            </w:r>
            <w:r w:rsidR="00D14EBE">
              <w:rPr>
                <w:rFonts w:cstheme="minorHAnsi"/>
                <w:sz w:val="24"/>
                <w:szCs w:val="24"/>
              </w:rPr>
              <w:t xml:space="preserve">. </w:t>
            </w:r>
          </w:p>
        </w:tc>
      </w:tr>
      <w:tr w:rsidR="00D7684D" w:rsidRPr="00C90F69" w14:paraId="6CCF2CAF" w14:textId="77777777" w:rsidTr="003A306E">
        <w:tc>
          <w:tcPr>
            <w:tcW w:w="2268" w:type="dxa"/>
            <w:vAlign w:val="center"/>
          </w:tcPr>
          <w:p w14:paraId="1A3F4C03" w14:textId="77777777" w:rsidR="00D7684D" w:rsidRDefault="00D7684D" w:rsidP="00143F0B">
            <w:pPr>
              <w:pStyle w:val="NormlnKZ"/>
              <w:spacing w:after="0"/>
              <w:ind w:firstLine="0"/>
              <w:jc w:val="center"/>
              <w:rPr>
                <w:rFonts w:asciiTheme="minorHAnsi" w:hAnsiTheme="minorHAnsi" w:cstheme="minorHAnsi"/>
                <w:b/>
                <w:color w:val="AF1953"/>
                <w:sz w:val="32"/>
              </w:rPr>
            </w:pPr>
            <w:r w:rsidRPr="00D7684D">
              <w:rPr>
                <w:rFonts w:asciiTheme="minorHAnsi" w:hAnsiTheme="minorHAnsi" w:cstheme="minorHAnsi"/>
                <w:b/>
                <w:color w:val="AF1953"/>
                <w:sz w:val="32"/>
              </w:rPr>
              <w:t>2,61 %</w:t>
            </w:r>
          </w:p>
        </w:tc>
        <w:tc>
          <w:tcPr>
            <w:tcW w:w="6794" w:type="dxa"/>
          </w:tcPr>
          <w:p w14:paraId="0953BEE6" w14:textId="76075F82" w:rsidR="00D7684D" w:rsidRPr="001209FF" w:rsidRDefault="00D7684D" w:rsidP="00143F0B">
            <w:pPr>
              <w:jc w:val="both"/>
              <w:rPr>
                <w:rFonts w:cstheme="minorHAnsi"/>
                <w:sz w:val="24"/>
                <w:szCs w:val="24"/>
              </w:rPr>
            </w:pPr>
            <w:r w:rsidRPr="003A306E">
              <w:rPr>
                <w:rFonts w:cstheme="minorHAnsi"/>
                <w:b/>
                <w:sz w:val="24"/>
                <w:szCs w:val="24"/>
              </w:rPr>
              <w:t xml:space="preserve">K řešení v přestupkovém řízení </w:t>
            </w:r>
            <w:r w:rsidR="00FA3F22" w:rsidRPr="003A306E">
              <w:rPr>
                <w:rFonts w:cstheme="minorHAnsi"/>
                <w:b/>
                <w:sz w:val="24"/>
                <w:szCs w:val="24"/>
              </w:rPr>
              <w:t xml:space="preserve">předalo </w:t>
            </w:r>
            <w:r w:rsidRPr="003A306E">
              <w:rPr>
                <w:rFonts w:cstheme="minorHAnsi"/>
                <w:b/>
                <w:sz w:val="24"/>
                <w:szCs w:val="24"/>
              </w:rPr>
              <w:t>ŘSD jen 250 z 9 581 vážních deliktů</w:t>
            </w:r>
            <w:r w:rsidRPr="001209FF">
              <w:rPr>
                <w:rFonts w:cstheme="minorHAnsi"/>
                <w:sz w:val="24"/>
                <w:szCs w:val="24"/>
              </w:rPr>
              <w:t xml:space="preserve"> zachycených vysokorychlostní váhou v květnu 2024 na dálnici D1, tedy 2,61 %. Zbylých 9 331 vážních deliktů nebylo vůbec řešeno.</w:t>
            </w:r>
          </w:p>
        </w:tc>
      </w:tr>
      <w:tr w:rsidR="004676E1" w:rsidRPr="00C90F69" w14:paraId="739AB1A5" w14:textId="77777777" w:rsidTr="00AF598F">
        <w:tc>
          <w:tcPr>
            <w:tcW w:w="2268" w:type="dxa"/>
            <w:vAlign w:val="center"/>
          </w:tcPr>
          <w:p w14:paraId="1A5446B3" w14:textId="77777777" w:rsidR="004676E1" w:rsidRPr="001C2B1A" w:rsidRDefault="004676E1" w:rsidP="00143F0B">
            <w:pPr>
              <w:jc w:val="center"/>
              <w:rPr>
                <w:rFonts w:cstheme="minorHAnsi"/>
                <w:b/>
                <w:color w:val="AF1953"/>
                <w:sz w:val="32"/>
                <w:szCs w:val="24"/>
              </w:rPr>
            </w:pPr>
            <w:r w:rsidRPr="00D7684D">
              <w:rPr>
                <w:rFonts w:cstheme="minorHAnsi"/>
                <w:b/>
                <w:color w:val="AF1953"/>
                <w:sz w:val="32"/>
                <w:szCs w:val="24"/>
              </w:rPr>
              <w:t>21,13 mil. Kč</w:t>
            </w:r>
          </w:p>
        </w:tc>
        <w:tc>
          <w:tcPr>
            <w:tcW w:w="6794" w:type="dxa"/>
          </w:tcPr>
          <w:p w14:paraId="2E28F062" w14:textId="6B0E2844" w:rsidR="004676E1" w:rsidRPr="001209FF" w:rsidRDefault="004676E1" w:rsidP="00143F0B">
            <w:pPr>
              <w:jc w:val="both"/>
              <w:rPr>
                <w:rFonts w:cstheme="minorHAnsi"/>
                <w:sz w:val="24"/>
                <w:szCs w:val="24"/>
              </w:rPr>
            </w:pPr>
            <w:r w:rsidRPr="00617C31">
              <w:rPr>
                <w:rFonts w:cstheme="minorHAnsi"/>
                <w:b/>
                <w:bCs/>
                <w:sz w:val="24"/>
                <w:szCs w:val="24"/>
              </w:rPr>
              <w:t xml:space="preserve">Za období od ledna 2020 do září 2024 SFDI </w:t>
            </w:r>
            <w:r w:rsidR="00617C31" w:rsidRPr="00617C31">
              <w:rPr>
                <w:rFonts w:cstheme="minorHAnsi"/>
                <w:b/>
                <w:bCs/>
                <w:sz w:val="24"/>
                <w:szCs w:val="24"/>
              </w:rPr>
              <w:t>z pokut z</w:t>
            </w:r>
            <w:r w:rsidR="00FA3F22">
              <w:rPr>
                <w:rFonts w:cstheme="minorHAnsi"/>
                <w:b/>
                <w:bCs/>
                <w:sz w:val="24"/>
                <w:szCs w:val="24"/>
              </w:rPr>
              <w:t> </w:t>
            </w:r>
            <w:r w:rsidR="00617C31" w:rsidRPr="00617C31">
              <w:rPr>
                <w:rFonts w:cstheme="minorHAnsi"/>
                <w:b/>
                <w:bCs/>
                <w:sz w:val="24"/>
                <w:szCs w:val="24"/>
              </w:rPr>
              <w:t xml:space="preserve">vysokorychlostního kontrolního vážení </w:t>
            </w:r>
            <w:r w:rsidRPr="00617C31">
              <w:rPr>
                <w:rFonts w:cstheme="minorHAnsi"/>
                <w:b/>
                <w:bCs/>
                <w:sz w:val="24"/>
                <w:szCs w:val="24"/>
              </w:rPr>
              <w:t>získal jen 21,13 mil. Kč.</w:t>
            </w:r>
            <w:r w:rsidRPr="003A306E">
              <w:rPr>
                <w:rFonts w:cstheme="minorHAnsi"/>
                <w:b/>
                <w:sz w:val="24"/>
                <w:szCs w:val="24"/>
              </w:rPr>
              <w:t xml:space="preserve"> </w:t>
            </w:r>
            <w:r w:rsidR="00617C31" w:rsidRPr="00617C31">
              <w:rPr>
                <w:rFonts w:cstheme="minorHAnsi"/>
                <w:bCs/>
                <w:sz w:val="24"/>
                <w:szCs w:val="24"/>
              </w:rPr>
              <w:t>Takto n</w:t>
            </w:r>
            <w:r w:rsidRPr="00617C31">
              <w:rPr>
                <w:rFonts w:cstheme="minorHAnsi"/>
                <w:bCs/>
                <w:sz w:val="24"/>
                <w:szCs w:val="24"/>
              </w:rPr>
              <w:t>ízké příjmy SFDI svědčí o neúspěšnosti postih</w:t>
            </w:r>
            <w:r w:rsidR="00FA3F22">
              <w:rPr>
                <w:rFonts w:cstheme="minorHAnsi"/>
                <w:bCs/>
                <w:sz w:val="24"/>
                <w:szCs w:val="24"/>
              </w:rPr>
              <w:t>ování</w:t>
            </w:r>
            <w:r w:rsidRPr="00617C31">
              <w:rPr>
                <w:rFonts w:cstheme="minorHAnsi"/>
                <w:bCs/>
                <w:sz w:val="24"/>
                <w:szCs w:val="24"/>
              </w:rPr>
              <w:t xml:space="preserve"> vážních deliktů.</w:t>
            </w:r>
          </w:p>
        </w:tc>
      </w:tr>
      <w:tr w:rsidR="00D7684D" w:rsidRPr="00C90F69" w14:paraId="5ED544FF" w14:textId="77777777" w:rsidTr="003A306E">
        <w:tc>
          <w:tcPr>
            <w:tcW w:w="2268" w:type="dxa"/>
            <w:vAlign w:val="center"/>
          </w:tcPr>
          <w:p w14:paraId="62F21914" w14:textId="77777777" w:rsidR="00D7684D" w:rsidRPr="00D7684D" w:rsidRDefault="00D7684D" w:rsidP="00143F0B">
            <w:pPr>
              <w:pStyle w:val="NormlnKZ"/>
              <w:spacing w:after="0"/>
              <w:ind w:firstLine="0"/>
              <w:jc w:val="center"/>
              <w:rPr>
                <w:rFonts w:asciiTheme="minorHAnsi" w:hAnsiTheme="minorHAnsi" w:cstheme="minorHAnsi"/>
                <w:b/>
                <w:color w:val="AF1953"/>
                <w:sz w:val="32"/>
              </w:rPr>
            </w:pPr>
            <w:r w:rsidRPr="00D7684D">
              <w:rPr>
                <w:rFonts w:asciiTheme="minorHAnsi" w:hAnsiTheme="minorHAnsi" w:cstheme="minorHAnsi"/>
                <w:b/>
                <w:color w:val="AF1953"/>
                <w:sz w:val="32"/>
              </w:rPr>
              <w:t>233</w:t>
            </w:r>
          </w:p>
        </w:tc>
        <w:tc>
          <w:tcPr>
            <w:tcW w:w="6794" w:type="dxa"/>
          </w:tcPr>
          <w:p w14:paraId="7CB8F67E" w14:textId="192BB2EA" w:rsidR="00D7684D" w:rsidRPr="001209FF" w:rsidRDefault="00D7684D" w:rsidP="00143F0B">
            <w:pPr>
              <w:jc w:val="both"/>
              <w:rPr>
                <w:rFonts w:cstheme="minorHAnsi"/>
                <w:sz w:val="24"/>
                <w:szCs w:val="24"/>
              </w:rPr>
            </w:pPr>
            <w:proofErr w:type="spellStart"/>
            <w:r w:rsidRPr="003A306E">
              <w:rPr>
                <w:rFonts w:cstheme="minorHAnsi"/>
                <w:b/>
                <w:sz w:val="24"/>
                <w:szCs w:val="24"/>
              </w:rPr>
              <w:t>Nízkorychlostní</w:t>
            </w:r>
            <w:proofErr w:type="spellEnd"/>
            <w:r w:rsidRPr="003A306E">
              <w:rPr>
                <w:rFonts w:cstheme="minorHAnsi"/>
                <w:b/>
                <w:sz w:val="24"/>
                <w:szCs w:val="24"/>
              </w:rPr>
              <w:t xml:space="preserve"> kontrolní vážení je prováděno v minimálním rozsahu.</w:t>
            </w:r>
            <w:r w:rsidRPr="001209FF">
              <w:rPr>
                <w:rFonts w:cstheme="minorHAnsi"/>
                <w:sz w:val="24"/>
                <w:szCs w:val="24"/>
              </w:rPr>
              <w:t xml:space="preserve"> Např. v roce 2023 jím bylo na dálnicích zkontrolováno jen 233 kami</w:t>
            </w:r>
            <w:r w:rsidR="00FA3F22">
              <w:rPr>
                <w:rFonts w:cstheme="minorHAnsi"/>
                <w:sz w:val="24"/>
                <w:szCs w:val="24"/>
              </w:rPr>
              <w:t>o</w:t>
            </w:r>
            <w:r w:rsidRPr="001209FF">
              <w:rPr>
                <w:rFonts w:cstheme="minorHAnsi"/>
                <w:sz w:val="24"/>
                <w:szCs w:val="24"/>
              </w:rPr>
              <w:t>nů</w:t>
            </w:r>
            <w:r w:rsidR="003A306E">
              <w:rPr>
                <w:rStyle w:val="Znakapoznpodarou"/>
                <w:rFonts w:cstheme="minorHAnsi"/>
                <w:sz w:val="24"/>
                <w:szCs w:val="24"/>
              </w:rPr>
              <w:footnoteReference w:id="2"/>
            </w:r>
            <w:r w:rsidRPr="001209FF">
              <w:rPr>
                <w:rFonts w:cstheme="minorHAnsi"/>
                <w:sz w:val="24"/>
                <w:szCs w:val="24"/>
              </w:rPr>
              <w:t>.</w:t>
            </w:r>
          </w:p>
        </w:tc>
      </w:tr>
    </w:tbl>
    <w:p w14:paraId="36C4C2FA" w14:textId="77777777" w:rsidR="00D7684D" w:rsidRDefault="00D7684D" w:rsidP="002F0FE5">
      <w:pPr>
        <w:pStyle w:val="NormlnKZ"/>
        <w:spacing w:after="0"/>
        <w:ind w:left="1418" w:hanging="1418"/>
        <w:rPr>
          <w:rFonts w:asciiTheme="minorHAnsi" w:hAnsiTheme="minorHAnsi" w:cstheme="minorHAnsi"/>
          <w:color w:val="232323"/>
          <w:shd w:val="clear" w:color="auto" w:fill="FFFFFF"/>
        </w:rPr>
      </w:pPr>
    </w:p>
    <w:p w14:paraId="3578D094" w14:textId="77777777" w:rsidR="002F0FE5" w:rsidRDefault="002F0FE5" w:rsidP="002F0FE5">
      <w:pPr>
        <w:pStyle w:val="NormlnKZ"/>
        <w:spacing w:after="0"/>
        <w:ind w:left="1418" w:hanging="1418"/>
        <w:rPr>
          <w:rFonts w:asciiTheme="minorHAnsi" w:hAnsiTheme="minorHAnsi" w:cstheme="minorHAnsi"/>
          <w:color w:val="232323"/>
          <w:shd w:val="clear" w:color="auto" w:fill="FFFFF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A8B3"/>
        <w:tblCellMar>
          <w:top w:w="142" w:type="dxa"/>
          <w:left w:w="170" w:type="dxa"/>
          <w:bottom w:w="142" w:type="dxa"/>
          <w:right w:w="170" w:type="dxa"/>
        </w:tblCellMar>
        <w:tblLook w:val="04A0" w:firstRow="1" w:lastRow="0" w:firstColumn="1" w:lastColumn="0" w:noHBand="0" w:noVBand="1"/>
      </w:tblPr>
      <w:tblGrid>
        <w:gridCol w:w="9061"/>
      </w:tblGrid>
      <w:tr w:rsidR="001209FF" w14:paraId="081C1DEE" w14:textId="77777777" w:rsidTr="001209FF">
        <w:tc>
          <w:tcPr>
            <w:tcW w:w="9061" w:type="dxa"/>
            <w:shd w:val="clear" w:color="auto" w:fill="AF1953"/>
          </w:tcPr>
          <w:p w14:paraId="76E69CD9" w14:textId="77777777" w:rsidR="001209FF" w:rsidRPr="001209FF" w:rsidRDefault="001209FF" w:rsidP="001209FF">
            <w:pPr>
              <w:jc w:val="both"/>
              <w:rPr>
                <w:b/>
                <w:color w:val="FFFFFF" w:themeColor="background1"/>
              </w:rPr>
            </w:pPr>
            <w:r w:rsidRPr="001209FF">
              <w:rPr>
                <w:b/>
                <w:color w:val="FFFFFF" w:themeColor="background1"/>
                <w:sz w:val="24"/>
              </w:rPr>
              <w:t>Systém kontrolního vážení vozidel neplní svůj úkol. Ve stávající podobě není účinným nástrojem pro omezení jízd přetížených vozidel a ochranu dopravní infrastruktury před škodami, které tato vozidla způsobují.</w:t>
            </w:r>
          </w:p>
        </w:tc>
      </w:tr>
      <w:bookmarkEnd w:id="8"/>
    </w:tbl>
    <w:p w14:paraId="6EBE37D2" w14:textId="77777777" w:rsidR="00D7684D" w:rsidRDefault="00D7684D">
      <w:pPr>
        <w:rPr>
          <w:rFonts w:cstheme="minorHAnsi"/>
          <w:b/>
          <w:sz w:val="28"/>
          <w:szCs w:val="28"/>
        </w:rPr>
      </w:pPr>
      <w:r>
        <w:rPr>
          <w:rFonts w:cstheme="minorHAnsi"/>
          <w:b/>
          <w:sz w:val="28"/>
          <w:szCs w:val="28"/>
        </w:rPr>
        <w:br w:type="page"/>
      </w:r>
    </w:p>
    <w:p w14:paraId="12705513" w14:textId="77777777" w:rsidR="004E39B0" w:rsidRPr="00A64DAE" w:rsidRDefault="004E39B0" w:rsidP="00A64DAE">
      <w:pPr>
        <w:jc w:val="center"/>
        <w:rPr>
          <w:rFonts w:cstheme="minorHAnsi"/>
          <w:b/>
          <w:sz w:val="28"/>
          <w:szCs w:val="28"/>
        </w:rPr>
      </w:pPr>
      <w:r w:rsidRPr="00A64DAE">
        <w:rPr>
          <w:rFonts w:cstheme="minorHAnsi"/>
          <w:b/>
          <w:sz w:val="28"/>
          <w:szCs w:val="28"/>
        </w:rPr>
        <w:lastRenderedPageBreak/>
        <w:t>I. Shrnutí a vyhodnocení</w:t>
      </w:r>
    </w:p>
    <w:p w14:paraId="7A7C6F06" w14:textId="77777777" w:rsidR="002C4E3B" w:rsidRPr="002C4E3B" w:rsidRDefault="002C4E3B" w:rsidP="002C4E3B">
      <w:pPr>
        <w:spacing w:after="0" w:line="252" w:lineRule="auto"/>
        <w:contextualSpacing/>
        <w:jc w:val="both"/>
        <w:rPr>
          <w:rFonts w:eastAsia="Arial Unicode MS" w:cstheme="minorHAnsi"/>
          <w:bCs/>
          <w:sz w:val="24"/>
          <w:szCs w:val="24"/>
          <w:lang w:eastAsia="cs-CZ"/>
        </w:rPr>
      </w:pPr>
    </w:p>
    <w:p w14:paraId="12BC3111" w14:textId="6C916897" w:rsidR="004E39B0" w:rsidRPr="00DE0CEE" w:rsidRDefault="004E39B0" w:rsidP="002C4E3B">
      <w:pPr>
        <w:spacing w:after="0" w:line="252" w:lineRule="auto"/>
        <w:contextualSpacing/>
        <w:jc w:val="both"/>
        <w:rPr>
          <w:rFonts w:cstheme="minorHAnsi"/>
          <w:sz w:val="24"/>
          <w:szCs w:val="24"/>
        </w:rPr>
      </w:pPr>
      <w:r w:rsidRPr="002C4E3B">
        <w:rPr>
          <w:rFonts w:eastAsia="Arial Unicode MS" w:cstheme="minorHAnsi"/>
          <w:bCs/>
          <w:sz w:val="24"/>
          <w:szCs w:val="24"/>
          <w:lang w:eastAsia="cs-CZ"/>
        </w:rPr>
        <w:t>1</w:t>
      </w:r>
      <w:r w:rsidRPr="00DE0CEE">
        <w:rPr>
          <w:rFonts w:eastAsia="Arial Unicode MS" w:cstheme="minorHAnsi"/>
          <w:bCs/>
          <w:sz w:val="24"/>
          <w:szCs w:val="24"/>
          <w:lang w:eastAsia="cs-CZ"/>
        </w:rPr>
        <w:t xml:space="preserve">.1 </w:t>
      </w:r>
      <w:r w:rsidRPr="00DE0CEE">
        <w:rPr>
          <w:rFonts w:cstheme="minorHAnsi"/>
          <w:sz w:val="24"/>
          <w:szCs w:val="24"/>
        </w:rPr>
        <w:t xml:space="preserve">NKÚ provedl kontrolu </w:t>
      </w:r>
      <w:r w:rsidRPr="00DE0CEE">
        <w:rPr>
          <w:rFonts w:eastAsia="Arial Unicode MS" w:cstheme="minorHAnsi"/>
          <w:bCs/>
          <w:sz w:val="24"/>
          <w:szCs w:val="24"/>
          <w:lang w:eastAsia="cs-CZ"/>
        </w:rPr>
        <w:t xml:space="preserve">peněžních </w:t>
      </w:r>
      <w:r w:rsidRPr="00DE0CEE">
        <w:rPr>
          <w:rFonts w:cstheme="minorHAnsi"/>
          <w:sz w:val="24"/>
          <w:szCs w:val="24"/>
        </w:rPr>
        <w:t>prostředků určených na kontrolní vážení vozidel (dále t</w:t>
      </w:r>
      <w:r w:rsidR="00001860" w:rsidRPr="00DE0CEE">
        <w:rPr>
          <w:rFonts w:cstheme="minorHAnsi"/>
          <w:sz w:val="24"/>
          <w:szCs w:val="24"/>
        </w:rPr>
        <w:t>éž</w:t>
      </w:r>
      <w:r w:rsidRPr="00DE0CEE">
        <w:rPr>
          <w:rFonts w:cstheme="minorHAnsi"/>
          <w:sz w:val="24"/>
          <w:szCs w:val="24"/>
        </w:rPr>
        <w:t xml:space="preserve"> „kontrolní vážení“) na dálnicích a silnicích I. třídy a příjmů SFDI z pokut uložených v souvislosti </w:t>
      </w:r>
      <w:r w:rsidR="00871C73">
        <w:rPr>
          <w:rFonts w:cstheme="minorHAnsi"/>
          <w:sz w:val="24"/>
          <w:szCs w:val="24"/>
        </w:rPr>
        <w:br/>
      </w:r>
      <w:r w:rsidRPr="00DE0CEE">
        <w:rPr>
          <w:rFonts w:cstheme="minorHAnsi"/>
          <w:sz w:val="24"/>
          <w:szCs w:val="24"/>
        </w:rPr>
        <w:t>s</w:t>
      </w:r>
      <w:r w:rsidR="00871C73">
        <w:rPr>
          <w:rFonts w:cstheme="minorHAnsi"/>
          <w:sz w:val="24"/>
          <w:szCs w:val="24"/>
        </w:rPr>
        <w:t xml:space="preserve"> </w:t>
      </w:r>
      <w:r w:rsidRPr="00DE0CEE">
        <w:rPr>
          <w:rFonts w:cstheme="minorHAnsi"/>
          <w:sz w:val="24"/>
          <w:szCs w:val="24"/>
        </w:rPr>
        <w:t xml:space="preserve">tímto vážením. Kontrolní vážení </w:t>
      </w:r>
      <w:r w:rsidRPr="00DE0CEE">
        <w:rPr>
          <w:rFonts w:eastAsia="Arial Unicode MS" w:cstheme="minorHAnsi"/>
          <w:bCs/>
          <w:sz w:val="24"/>
          <w:szCs w:val="24"/>
          <w:lang w:eastAsia="cs-CZ"/>
        </w:rPr>
        <w:t xml:space="preserve">mělo </w:t>
      </w:r>
      <w:r w:rsidRPr="00DE0CEE">
        <w:rPr>
          <w:rFonts w:cstheme="minorHAnsi"/>
          <w:sz w:val="24"/>
          <w:szCs w:val="24"/>
        </w:rPr>
        <w:t>omez</w:t>
      </w:r>
      <w:r w:rsidR="004D6E8F" w:rsidRPr="00DE0CEE">
        <w:rPr>
          <w:rFonts w:cstheme="minorHAnsi"/>
          <w:sz w:val="24"/>
          <w:szCs w:val="24"/>
        </w:rPr>
        <w:t>it</w:t>
      </w:r>
      <w:r w:rsidRPr="00DE0CEE">
        <w:rPr>
          <w:rFonts w:cstheme="minorHAnsi"/>
          <w:sz w:val="24"/>
          <w:szCs w:val="24"/>
        </w:rPr>
        <w:t xml:space="preserve"> jízd</w:t>
      </w:r>
      <w:r w:rsidR="004D6E8F" w:rsidRPr="00DE0CEE">
        <w:rPr>
          <w:rFonts w:cstheme="minorHAnsi"/>
          <w:sz w:val="24"/>
          <w:szCs w:val="24"/>
        </w:rPr>
        <w:t>y</w:t>
      </w:r>
      <w:r w:rsidRPr="00DE0CEE">
        <w:rPr>
          <w:rFonts w:cstheme="minorHAnsi"/>
          <w:sz w:val="24"/>
          <w:szCs w:val="24"/>
        </w:rPr>
        <w:t xml:space="preserve"> přetížených vozidel způsobující </w:t>
      </w:r>
      <w:r w:rsidR="002A13F1">
        <w:rPr>
          <w:rFonts w:cstheme="minorHAnsi"/>
          <w:sz w:val="24"/>
          <w:szCs w:val="24"/>
        </w:rPr>
        <w:br/>
      </w:r>
      <w:r w:rsidR="00E13298" w:rsidRPr="00DE0CEE">
        <w:rPr>
          <w:rFonts w:cstheme="minorHAnsi"/>
          <w:sz w:val="24"/>
          <w:szCs w:val="24"/>
        </w:rPr>
        <w:t xml:space="preserve">mj. </w:t>
      </w:r>
      <w:r w:rsidRPr="00DE0CEE">
        <w:rPr>
          <w:rFonts w:cstheme="minorHAnsi"/>
          <w:sz w:val="24"/>
          <w:szCs w:val="24"/>
        </w:rPr>
        <w:t xml:space="preserve">poškození silnic a dálnic, které pak vyžadují nákladnější opravy. </w:t>
      </w:r>
      <w:r w:rsidR="00AC392B" w:rsidRPr="00DE0CEE">
        <w:rPr>
          <w:rFonts w:cstheme="minorHAnsi"/>
          <w:sz w:val="24"/>
          <w:szCs w:val="24"/>
        </w:rPr>
        <w:t>Destrukční vliv jízd přetížených vozidel na vozovku je významný a vznikající škody vysoké (viz odst</w:t>
      </w:r>
      <w:r w:rsidR="00AB0823" w:rsidRPr="00DE0CEE">
        <w:rPr>
          <w:rFonts w:cstheme="minorHAnsi"/>
          <w:sz w:val="24"/>
          <w:szCs w:val="24"/>
        </w:rPr>
        <w:t>.</w:t>
      </w:r>
      <w:r w:rsidR="00AC392B" w:rsidRPr="00DE0CEE">
        <w:rPr>
          <w:rFonts w:cstheme="minorHAnsi"/>
          <w:sz w:val="24"/>
          <w:szCs w:val="24"/>
        </w:rPr>
        <w:t xml:space="preserve"> 4.</w:t>
      </w:r>
      <w:r w:rsidR="00A1187F" w:rsidRPr="00DE0CEE">
        <w:rPr>
          <w:rFonts w:cstheme="minorHAnsi"/>
          <w:sz w:val="24"/>
          <w:szCs w:val="24"/>
        </w:rPr>
        <w:t>2</w:t>
      </w:r>
      <w:r w:rsidR="00FA3F22">
        <w:rPr>
          <w:rFonts w:cstheme="minorHAnsi"/>
          <w:sz w:val="24"/>
          <w:szCs w:val="24"/>
        </w:rPr>
        <w:t>–</w:t>
      </w:r>
      <w:r w:rsidR="00A1187F" w:rsidRPr="00DE0CEE">
        <w:rPr>
          <w:rFonts w:cstheme="minorHAnsi"/>
          <w:sz w:val="24"/>
          <w:szCs w:val="24"/>
        </w:rPr>
        <w:t>4</w:t>
      </w:r>
      <w:r w:rsidR="00AC392B" w:rsidRPr="00DE0CEE">
        <w:rPr>
          <w:rFonts w:cstheme="minorHAnsi"/>
          <w:sz w:val="24"/>
          <w:szCs w:val="24"/>
        </w:rPr>
        <w:t>.</w:t>
      </w:r>
      <w:r w:rsidR="009547E6" w:rsidRPr="00DE0CEE">
        <w:rPr>
          <w:rFonts w:cstheme="minorHAnsi"/>
          <w:sz w:val="24"/>
          <w:szCs w:val="24"/>
        </w:rPr>
        <w:t>4</w:t>
      </w:r>
      <w:r w:rsidR="00AC392B" w:rsidRPr="00DE0CEE">
        <w:rPr>
          <w:rFonts w:cstheme="minorHAnsi"/>
          <w:sz w:val="24"/>
          <w:szCs w:val="24"/>
        </w:rPr>
        <w:t>).</w:t>
      </w:r>
    </w:p>
    <w:p w14:paraId="58B324A1" w14:textId="77777777" w:rsidR="004E39B0" w:rsidRPr="00DE0CEE" w:rsidRDefault="004E39B0" w:rsidP="002C4E3B">
      <w:pPr>
        <w:spacing w:after="0" w:line="252" w:lineRule="auto"/>
        <w:contextualSpacing/>
        <w:jc w:val="both"/>
        <w:rPr>
          <w:rFonts w:cstheme="minorHAnsi"/>
          <w:sz w:val="24"/>
          <w:szCs w:val="24"/>
        </w:rPr>
      </w:pPr>
    </w:p>
    <w:p w14:paraId="6B910AF4" w14:textId="6D471F52" w:rsidR="004E39B0" w:rsidRPr="00DE0CEE" w:rsidRDefault="004E39B0" w:rsidP="002C4E3B">
      <w:pPr>
        <w:spacing w:after="0" w:line="252" w:lineRule="auto"/>
        <w:contextualSpacing/>
        <w:jc w:val="both"/>
        <w:rPr>
          <w:rFonts w:eastAsia="Arial Unicode MS" w:cstheme="minorHAnsi"/>
          <w:bCs/>
          <w:sz w:val="24"/>
          <w:szCs w:val="24"/>
          <w:lang w:eastAsia="cs-CZ"/>
        </w:rPr>
      </w:pPr>
      <w:r w:rsidRPr="00DE0CEE">
        <w:rPr>
          <w:rFonts w:eastAsia="Arial Unicode MS" w:cstheme="minorHAnsi"/>
          <w:bCs/>
          <w:sz w:val="24"/>
          <w:szCs w:val="24"/>
          <w:lang w:eastAsia="cs-CZ"/>
        </w:rPr>
        <w:t xml:space="preserve">1.2 </w:t>
      </w:r>
      <w:r w:rsidRPr="00DE0CEE">
        <w:rPr>
          <w:rFonts w:cstheme="minorHAnsi"/>
          <w:sz w:val="24"/>
          <w:szCs w:val="24"/>
        </w:rPr>
        <w:t xml:space="preserve">Cílem kontroly bylo prověřit, zda peněžní prostředky určené na kontrolní vážení byly vynaloženy účelně, hospodárně, efektivně a v souladu s právními předpisy, a prověřit příjmy SFDI z pokut uložených v souvislosti s tímto vážením. </w:t>
      </w:r>
      <w:r w:rsidRPr="00DE0CEE">
        <w:rPr>
          <w:rFonts w:eastAsia="Arial Unicode MS" w:cstheme="minorHAnsi"/>
          <w:bCs/>
          <w:sz w:val="24"/>
          <w:szCs w:val="24"/>
          <w:lang w:eastAsia="cs-CZ"/>
        </w:rPr>
        <w:t xml:space="preserve">Kontrola byla zaměřena na koncepční, </w:t>
      </w:r>
      <w:r w:rsidRPr="00DE0CEE">
        <w:rPr>
          <w:rFonts w:cstheme="minorHAnsi"/>
          <w:sz w:val="24"/>
          <w:szCs w:val="24"/>
        </w:rPr>
        <w:t xml:space="preserve">řídicí a kontrolní </w:t>
      </w:r>
      <w:r w:rsidRPr="00DE0CEE">
        <w:rPr>
          <w:rFonts w:eastAsia="Arial Unicode MS" w:cstheme="minorHAnsi"/>
          <w:bCs/>
          <w:sz w:val="24"/>
          <w:szCs w:val="24"/>
          <w:lang w:eastAsia="cs-CZ"/>
        </w:rPr>
        <w:t>činnost MD v</w:t>
      </w:r>
      <w:r w:rsidR="00B7078F">
        <w:rPr>
          <w:rFonts w:eastAsia="Arial Unicode MS" w:cstheme="minorHAnsi"/>
          <w:bCs/>
          <w:sz w:val="24"/>
          <w:szCs w:val="24"/>
          <w:lang w:eastAsia="cs-CZ"/>
        </w:rPr>
        <w:t xml:space="preserve"> </w:t>
      </w:r>
      <w:r w:rsidRPr="00DE0CEE">
        <w:rPr>
          <w:rFonts w:eastAsia="Arial Unicode MS" w:cstheme="minorHAnsi"/>
          <w:bCs/>
          <w:sz w:val="24"/>
          <w:szCs w:val="24"/>
          <w:lang w:eastAsia="cs-CZ"/>
        </w:rPr>
        <w:t>této oblasti a na činnosti ŘSD při pořizování a zajiš</w:t>
      </w:r>
      <w:r w:rsidR="00B7078F">
        <w:rPr>
          <w:rFonts w:eastAsia="Arial Unicode MS" w:cstheme="minorHAnsi"/>
          <w:bCs/>
          <w:sz w:val="24"/>
          <w:szCs w:val="24"/>
          <w:lang w:eastAsia="cs-CZ"/>
        </w:rPr>
        <w:t>ťování</w:t>
      </w:r>
      <w:r w:rsidRPr="00DE0CEE">
        <w:rPr>
          <w:rFonts w:eastAsia="Arial Unicode MS" w:cstheme="minorHAnsi"/>
          <w:bCs/>
          <w:sz w:val="24"/>
          <w:szCs w:val="24"/>
          <w:lang w:eastAsia="cs-CZ"/>
        </w:rPr>
        <w:t xml:space="preserve"> provozu kontrolního vážení. Kontrolou byly prověřeny i </w:t>
      </w:r>
      <w:r w:rsidRPr="00DE0CEE">
        <w:rPr>
          <w:rFonts w:cstheme="minorHAnsi"/>
          <w:sz w:val="24"/>
          <w:szCs w:val="24"/>
        </w:rPr>
        <w:t xml:space="preserve">příjmy SFDI z pokut </w:t>
      </w:r>
      <w:r w:rsidR="00A33C87" w:rsidRPr="00DE0CEE">
        <w:rPr>
          <w:rFonts w:cstheme="minorHAnsi"/>
          <w:sz w:val="24"/>
          <w:szCs w:val="24"/>
        </w:rPr>
        <w:t>z</w:t>
      </w:r>
      <w:r w:rsidR="00871C73">
        <w:rPr>
          <w:rFonts w:cstheme="minorHAnsi"/>
          <w:sz w:val="24"/>
          <w:szCs w:val="24"/>
        </w:rPr>
        <w:t xml:space="preserve"> </w:t>
      </w:r>
      <w:r w:rsidRPr="00DE0CEE">
        <w:rPr>
          <w:rFonts w:cstheme="minorHAnsi"/>
          <w:sz w:val="24"/>
          <w:szCs w:val="24"/>
        </w:rPr>
        <w:t>kontrolní</w:t>
      </w:r>
      <w:r w:rsidR="00A33C87" w:rsidRPr="00DE0CEE">
        <w:rPr>
          <w:rFonts w:cstheme="minorHAnsi"/>
          <w:sz w:val="24"/>
          <w:szCs w:val="24"/>
        </w:rPr>
        <w:t>ho</w:t>
      </w:r>
      <w:r w:rsidRPr="00DE0CEE">
        <w:rPr>
          <w:rFonts w:cstheme="minorHAnsi"/>
          <w:sz w:val="24"/>
          <w:szCs w:val="24"/>
        </w:rPr>
        <w:t xml:space="preserve"> vážení.</w:t>
      </w:r>
    </w:p>
    <w:p w14:paraId="365E2402" w14:textId="77777777" w:rsidR="004E39B0" w:rsidRPr="00DE0CEE" w:rsidRDefault="004E39B0" w:rsidP="002C4E3B">
      <w:pPr>
        <w:spacing w:after="0" w:line="252" w:lineRule="auto"/>
        <w:contextualSpacing/>
        <w:jc w:val="both"/>
        <w:rPr>
          <w:rFonts w:cstheme="minorHAnsi"/>
          <w:color w:val="000000"/>
          <w:sz w:val="24"/>
          <w:szCs w:val="24"/>
        </w:rPr>
      </w:pPr>
    </w:p>
    <w:p w14:paraId="549833D2" w14:textId="56893363" w:rsidR="004E39B0" w:rsidRPr="00790A1F" w:rsidRDefault="004E39B0" w:rsidP="002C4E3B">
      <w:pPr>
        <w:spacing w:after="0" w:line="252" w:lineRule="auto"/>
        <w:contextualSpacing/>
        <w:jc w:val="both"/>
        <w:rPr>
          <w:rFonts w:cstheme="minorHAnsi"/>
          <w:color w:val="000000"/>
          <w:sz w:val="24"/>
          <w:szCs w:val="24"/>
        </w:rPr>
      </w:pPr>
      <w:r w:rsidRPr="00DE0CEE">
        <w:rPr>
          <w:rFonts w:cstheme="minorHAnsi"/>
          <w:color w:val="000000"/>
          <w:sz w:val="24"/>
          <w:szCs w:val="24"/>
        </w:rPr>
        <w:t>1.3 V letech 2019</w:t>
      </w:r>
      <w:r w:rsidR="00FA3F22">
        <w:rPr>
          <w:rFonts w:cstheme="minorHAnsi"/>
          <w:color w:val="000000"/>
          <w:sz w:val="24"/>
          <w:szCs w:val="24"/>
        </w:rPr>
        <w:t>–</w:t>
      </w:r>
      <w:r w:rsidRPr="00DE0CEE">
        <w:rPr>
          <w:rFonts w:cstheme="minorHAnsi"/>
          <w:color w:val="000000"/>
          <w:sz w:val="24"/>
          <w:szCs w:val="24"/>
        </w:rPr>
        <w:t xml:space="preserve">2024 ŘSD </w:t>
      </w:r>
      <w:r w:rsidRPr="00DE0CEE">
        <w:rPr>
          <w:rFonts w:cstheme="minorHAnsi"/>
          <w:sz w:val="24"/>
          <w:szCs w:val="24"/>
        </w:rPr>
        <w:t>vynaložilo</w:t>
      </w:r>
      <w:r w:rsidRPr="00DE0CEE">
        <w:rPr>
          <w:rFonts w:cstheme="minorHAnsi"/>
          <w:color w:val="000000"/>
          <w:sz w:val="24"/>
          <w:szCs w:val="24"/>
        </w:rPr>
        <w:t xml:space="preserve"> </w:t>
      </w:r>
      <w:r w:rsidR="00397CCC">
        <w:rPr>
          <w:rFonts w:cstheme="minorHAnsi"/>
          <w:color w:val="000000"/>
          <w:sz w:val="24"/>
          <w:szCs w:val="24"/>
        </w:rPr>
        <w:t>112,37</w:t>
      </w:r>
      <w:r w:rsidRPr="00DE0CEE">
        <w:rPr>
          <w:rFonts w:cstheme="minorHAnsi"/>
          <w:color w:val="000000"/>
          <w:sz w:val="24"/>
          <w:szCs w:val="24"/>
        </w:rPr>
        <w:t xml:space="preserve"> mil. Kč</w:t>
      </w:r>
      <w:r w:rsidRPr="00DE0CEE">
        <w:rPr>
          <w:rFonts w:eastAsia="Arial Unicode MS" w:cstheme="minorHAnsi"/>
          <w:bCs/>
          <w:sz w:val="24"/>
          <w:szCs w:val="24"/>
          <w:lang w:eastAsia="cs-CZ"/>
        </w:rPr>
        <w:t xml:space="preserve"> na </w:t>
      </w:r>
      <w:r w:rsidRPr="00DE0CEE">
        <w:rPr>
          <w:rFonts w:cstheme="minorHAnsi"/>
          <w:sz w:val="24"/>
          <w:szCs w:val="24"/>
        </w:rPr>
        <w:t>pořízení a provoz zařízení pro vysokorychlostní kontrolní vážení (dále též „VKV“)</w:t>
      </w:r>
      <w:r w:rsidR="00397CCC">
        <w:rPr>
          <w:rFonts w:cstheme="minorHAnsi"/>
          <w:sz w:val="24"/>
          <w:szCs w:val="24"/>
        </w:rPr>
        <w:t>, z</w:t>
      </w:r>
      <w:r w:rsidR="0009342B">
        <w:rPr>
          <w:rFonts w:cstheme="minorHAnsi"/>
          <w:sz w:val="24"/>
          <w:szCs w:val="24"/>
        </w:rPr>
        <w:t xml:space="preserve"> </w:t>
      </w:r>
      <w:r w:rsidR="00397CCC">
        <w:rPr>
          <w:rFonts w:cstheme="minorHAnsi"/>
          <w:sz w:val="24"/>
          <w:szCs w:val="24"/>
        </w:rPr>
        <w:t>nichž NKÚ podrobil kontrole 111,12</w:t>
      </w:r>
      <w:r w:rsidR="00B7078F">
        <w:rPr>
          <w:rFonts w:cstheme="minorHAnsi"/>
          <w:sz w:val="24"/>
          <w:szCs w:val="24"/>
        </w:rPr>
        <w:t> </w:t>
      </w:r>
      <w:r w:rsidR="00397CCC">
        <w:rPr>
          <w:rFonts w:cstheme="minorHAnsi"/>
          <w:sz w:val="24"/>
          <w:szCs w:val="24"/>
        </w:rPr>
        <w:t>mil.</w:t>
      </w:r>
      <w:r w:rsidR="00B7078F">
        <w:rPr>
          <w:rFonts w:cstheme="minorHAnsi"/>
          <w:sz w:val="24"/>
          <w:szCs w:val="24"/>
        </w:rPr>
        <w:t> </w:t>
      </w:r>
      <w:r w:rsidR="00397CCC">
        <w:rPr>
          <w:rFonts w:cstheme="minorHAnsi"/>
          <w:sz w:val="24"/>
          <w:szCs w:val="24"/>
        </w:rPr>
        <w:t>Kč</w:t>
      </w:r>
      <w:r w:rsidRPr="00DE0CEE">
        <w:rPr>
          <w:rFonts w:cstheme="minorHAnsi"/>
          <w:color w:val="000000"/>
          <w:sz w:val="24"/>
          <w:szCs w:val="24"/>
        </w:rPr>
        <w:t xml:space="preserve">. Náklady na </w:t>
      </w:r>
      <w:proofErr w:type="spellStart"/>
      <w:r w:rsidRPr="00DE0CEE">
        <w:rPr>
          <w:rFonts w:cstheme="minorHAnsi"/>
          <w:color w:val="000000"/>
          <w:sz w:val="24"/>
          <w:szCs w:val="24"/>
        </w:rPr>
        <w:t>nízkorychlostní</w:t>
      </w:r>
      <w:proofErr w:type="spellEnd"/>
      <w:r w:rsidRPr="00DE0CEE">
        <w:rPr>
          <w:rFonts w:cstheme="minorHAnsi"/>
          <w:color w:val="000000"/>
          <w:sz w:val="24"/>
          <w:szCs w:val="24"/>
        </w:rPr>
        <w:t xml:space="preserve"> kontrolní vážení (dále též „NKV“) nebylo možno přesně zjisti</w:t>
      </w:r>
      <w:r w:rsidR="004D6E8F" w:rsidRPr="00DE0CEE">
        <w:rPr>
          <w:rFonts w:cstheme="minorHAnsi"/>
          <w:color w:val="000000"/>
          <w:sz w:val="24"/>
          <w:szCs w:val="24"/>
        </w:rPr>
        <w:t>t</w:t>
      </w:r>
      <w:r w:rsidR="007425D8">
        <w:rPr>
          <w:rFonts w:cstheme="minorHAnsi"/>
          <w:color w:val="000000"/>
          <w:sz w:val="24"/>
          <w:szCs w:val="24"/>
        </w:rPr>
        <w:t>, neboť MD ani ŘSD o nich nemají přesný přehled</w:t>
      </w:r>
      <w:r w:rsidRPr="00DE0CEE">
        <w:rPr>
          <w:rFonts w:cstheme="minorHAnsi"/>
          <w:color w:val="000000"/>
          <w:sz w:val="24"/>
          <w:szCs w:val="24"/>
        </w:rPr>
        <w:t xml:space="preserve">. SFDI v období od </w:t>
      </w:r>
      <w:r w:rsidR="000B6141" w:rsidRPr="00DE0CEE">
        <w:rPr>
          <w:rFonts w:cstheme="minorHAnsi"/>
          <w:color w:val="000000"/>
          <w:sz w:val="24"/>
          <w:szCs w:val="24"/>
        </w:rPr>
        <w:t>ledna</w:t>
      </w:r>
      <w:r w:rsidRPr="00DE0CEE">
        <w:rPr>
          <w:rFonts w:cstheme="minorHAnsi"/>
          <w:color w:val="000000"/>
          <w:sz w:val="24"/>
          <w:szCs w:val="24"/>
        </w:rPr>
        <w:t xml:space="preserve"> 20</w:t>
      </w:r>
      <w:r w:rsidR="000B6141" w:rsidRPr="00DE0CEE">
        <w:rPr>
          <w:rFonts w:cstheme="minorHAnsi"/>
          <w:color w:val="000000"/>
          <w:sz w:val="24"/>
          <w:szCs w:val="24"/>
        </w:rPr>
        <w:t>20</w:t>
      </w:r>
      <w:r w:rsidRPr="00DE0CEE">
        <w:rPr>
          <w:rFonts w:cstheme="minorHAnsi"/>
          <w:color w:val="000000"/>
          <w:sz w:val="24"/>
          <w:szCs w:val="24"/>
        </w:rPr>
        <w:t xml:space="preserve"> do září 2024 inkasoval podíl na příjmech z</w:t>
      </w:r>
      <w:r w:rsidR="00B7078F">
        <w:rPr>
          <w:rFonts w:cstheme="minorHAnsi"/>
          <w:color w:val="000000"/>
          <w:sz w:val="24"/>
          <w:szCs w:val="24"/>
        </w:rPr>
        <w:t xml:space="preserve"> </w:t>
      </w:r>
      <w:r w:rsidRPr="00DE0CEE">
        <w:rPr>
          <w:rFonts w:cstheme="minorHAnsi"/>
          <w:color w:val="000000"/>
          <w:sz w:val="24"/>
          <w:szCs w:val="24"/>
        </w:rPr>
        <w:t>pokut z</w:t>
      </w:r>
      <w:r w:rsidR="00B7078F">
        <w:rPr>
          <w:rFonts w:cstheme="minorHAnsi"/>
          <w:color w:val="000000"/>
          <w:sz w:val="24"/>
          <w:szCs w:val="24"/>
        </w:rPr>
        <w:t xml:space="preserve"> </w:t>
      </w:r>
      <w:r w:rsidRPr="00DE0CEE">
        <w:rPr>
          <w:rFonts w:cstheme="minorHAnsi"/>
          <w:color w:val="000000"/>
          <w:sz w:val="24"/>
          <w:szCs w:val="24"/>
        </w:rPr>
        <w:t>kontrolního vážení v</w:t>
      </w:r>
      <w:r w:rsidR="00B7078F">
        <w:rPr>
          <w:rFonts w:cstheme="minorHAnsi"/>
          <w:color w:val="000000"/>
          <w:sz w:val="24"/>
          <w:szCs w:val="24"/>
        </w:rPr>
        <w:t xml:space="preserve"> </w:t>
      </w:r>
      <w:r w:rsidRPr="00DE0CEE">
        <w:rPr>
          <w:rFonts w:cstheme="minorHAnsi"/>
          <w:color w:val="000000"/>
          <w:sz w:val="24"/>
          <w:szCs w:val="24"/>
        </w:rPr>
        <w:t xml:space="preserve">celkové výši </w:t>
      </w:r>
      <w:r w:rsidR="002160B3" w:rsidRPr="00DE0CEE">
        <w:rPr>
          <w:rFonts w:cstheme="minorHAnsi"/>
          <w:color w:val="000000"/>
          <w:sz w:val="24"/>
          <w:szCs w:val="24"/>
        </w:rPr>
        <w:t>9</w:t>
      </w:r>
      <w:r w:rsidRPr="00DE0CEE">
        <w:rPr>
          <w:rFonts w:cstheme="minorHAnsi"/>
          <w:color w:val="000000"/>
          <w:sz w:val="24"/>
          <w:szCs w:val="24"/>
        </w:rPr>
        <w:t>3,50</w:t>
      </w:r>
      <w:r w:rsidR="00B7078F">
        <w:rPr>
          <w:rFonts w:cstheme="minorHAnsi"/>
          <w:color w:val="000000"/>
          <w:sz w:val="24"/>
          <w:szCs w:val="24"/>
        </w:rPr>
        <w:t> </w:t>
      </w:r>
      <w:r w:rsidRPr="00DE0CEE">
        <w:rPr>
          <w:rFonts w:cstheme="minorHAnsi"/>
          <w:color w:val="000000"/>
          <w:sz w:val="24"/>
          <w:szCs w:val="24"/>
        </w:rPr>
        <w:t>mil.</w:t>
      </w:r>
      <w:r w:rsidR="00B7078F">
        <w:rPr>
          <w:rFonts w:cstheme="minorHAnsi"/>
          <w:color w:val="000000"/>
          <w:sz w:val="24"/>
          <w:szCs w:val="24"/>
        </w:rPr>
        <w:t> </w:t>
      </w:r>
      <w:r w:rsidRPr="00DE0CEE">
        <w:rPr>
          <w:rFonts w:cstheme="minorHAnsi"/>
          <w:color w:val="000000"/>
          <w:sz w:val="24"/>
          <w:szCs w:val="24"/>
        </w:rPr>
        <w:t xml:space="preserve">Kč, z toho </w:t>
      </w:r>
      <w:r w:rsidR="002160B3" w:rsidRPr="00DE0CEE">
        <w:rPr>
          <w:rFonts w:cstheme="minorHAnsi"/>
          <w:color w:val="000000"/>
          <w:sz w:val="24"/>
          <w:szCs w:val="24"/>
        </w:rPr>
        <w:t>21,13</w:t>
      </w:r>
      <w:r w:rsidRPr="00DE0CEE">
        <w:rPr>
          <w:rFonts w:cstheme="minorHAnsi"/>
          <w:color w:val="000000"/>
          <w:sz w:val="24"/>
          <w:szCs w:val="24"/>
        </w:rPr>
        <w:t xml:space="preserve"> mil. Kč z VKV. NKÚ zdůrazňuje, že pro účelnost a efektivnost vynakládání peněžních prostředků na kontrolní vážení není podstatná výše příjmů z pokut, ale především úspora nákladů na oprav</w:t>
      </w:r>
      <w:r w:rsidR="00B7078F">
        <w:rPr>
          <w:rFonts w:cstheme="minorHAnsi"/>
          <w:color w:val="000000"/>
          <w:sz w:val="24"/>
          <w:szCs w:val="24"/>
        </w:rPr>
        <w:t>y</w:t>
      </w:r>
      <w:r w:rsidRPr="00DE0CEE">
        <w:rPr>
          <w:rFonts w:cstheme="minorHAnsi"/>
          <w:color w:val="000000"/>
          <w:sz w:val="24"/>
          <w:szCs w:val="24"/>
        </w:rPr>
        <w:t xml:space="preserve"> škod vzniklých v důsledku jízd přetížených vozidel</w:t>
      </w:r>
      <w:r w:rsidR="00CE08F5">
        <w:rPr>
          <w:rStyle w:val="Znakapoznpodarou"/>
          <w:rFonts w:cstheme="minorHAnsi"/>
          <w:color w:val="000000"/>
          <w:sz w:val="24"/>
          <w:szCs w:val="24"/>
        </w:rPr>
        <w:footnoteReference w:id="3"/>
      </w:r>
      <w:r w:rsidRPr="00DE0CEE">
        <w:rPr>
          <w:rFonts w:cstheme="minorHAnsi"/>
          <w:color w:val="000000"/>
          <w:sz w:val="24"/>
          <w:szCs w:val="24"/>
        </w:rPr>
        <w:t xml:space="preserve">. </w:t>
      </w:r>
    </w:p>
    <w:p w14:paraId="6E08E9FC" w14:textId="77777777" w:rsidR="004E39B0" w:rsidRPr="00DE0CEE" w:rsidRDefault="004E39B0" w:rsidP="002C4E3B">
      <w:pPr>
        <w:spacing w:after="0" w:line="252" w:lineRule="auto"/>
        <w:contextualSpacing/>
        <w:jc w:val="both"/>
        <w:rPr>
          <w:rFonts w:cstheme="minorHAnsi"/>
          <w:color w:val="000000"/>
          <w:sz w:val="24"/>
          <w:szCs w:val="24"/>
        </w:rPr>
      </w:pPr>
    </w:p>
    <w:p w14:paraId="67055B8F" w14:textId="0486F8FC" w:rsidR="004E39B0" w:rsidRPr="00DE0CEE" w:rsidRDefault="004E39B0" w:rsidP="002C4E3B">
      <w:pPr>
        <w:spacing w:after="0" w:line="252" w:lineRule="auto"/>
        <w:contextualSpacing/>
        <w:jc w:val="both"/>
        <w:rPr>
          <w:rFonts w:eastAsia="Calibri" w:cstheme="minorHAnsi"/>
          <w:b/>
          <w:sz w:val="24"/>
          <w:szCs w:val="24"/>
        </w:rPr>
      </w:pPr>
      <w:r w:rsidRPr="00DE0CEE">
        <w:rPr>
          <w:rFonts w:eastAsia="Calibri" w:cstheme="minorHAnsi"/>
          <w:b/>
          <w:sz w:val="24"/>
          <w:szCs w:val="24"/>
        </w:rPr>
        <w:t xml:space="preserve">1.4 NKÚ při kontrole zjistil, že MD a ŘSD nezajistily </w:t>
      </w:r>
      <w:r w:rsidR="005E5F14">
        <w:rPr>
          <w:rFonts w:eastAsia="Calibri" w:cstheme="minorHAnsi"/>
          <w:b/>
          <w:sz w:val="24"/>
          <w:szCs w:val="24"/>
        </w:rPr>
        <w:t xml:space="preserve">efektivní a </w:t>
      </w:r>
      <w:r w:rsidRPr="00DE0CEE">
        <w:rPr>
          <w:rFonts w:eastAsia="Calibri" w:cstheme="minorHAnsi"/>
          <w:b/>
          <w:sz w:val="24"/>
          <w:szCs w:val="24"/>
        </w:rPr>
        <w:t>účelné</w:t>
      </w:r>
      <w:r w:rsidR="007425D8">
        <w:rPr>
          <w:rFonts w:eastAsia="Calibri" w:cstheme="minorHAnsi"/>
          <w:b/>
          <w:sz w:val="24"/>
          <w:szCs w:val="24"/>
        </w:rPr>
        <w:t xml:space="preserve"> </w:t>
      </w:r>
      <w:r w:rsidRPr="00DE0CEE">
        <w:rPr>
          <w:rFonts w:eastAsia="Calibri" w:cstheme="minorHAnsi"/>
          <w:b/>
          <w:sz w:val="24"/>
          <w:szCs w:val="24"/>
        </w:rPr>
        <w:t xml:space="preserve">vynakládání peněžních prostředků státu na </w:t>
      </w:r>
      <w:r w:rsidR="00D70141">
        <w:rPr>
          <w:rFonts w:eastAsia="Calibri" w:cstheme="minorHAnsi"/>
          <w:b/>
          <w:sz w:val="24"/>
          <w:szCs w:val="24"/>
        </w:rPr>
        <w:t xml:space="preserve">systém </w:t>
      </w:r>
      <w:r w:rsidRPr="00DE0CEE">
        <w:rPr>
          <w:rFonts w:eastAsia="Calibri" w:cstheme="minorHAnsi"/>
          <w:b/>
          <w:sz w:val="24"/>
          <w:szCs w:val="24"/>
        </w:rPr>
        <w:t>kontrolního vážení</w:t>
      </w:r>
      <w:r w:rsidR="006C115C">
        <w:rPr>
          <w:rFonts w:eastAsia="Calibri" w:cstheme="minorHAnsi"/>
          <w:b/>
          <w:sz w:val="24"/>
          <w:szCs w:val="24"/>
        </w:rPr>
        <w:t>, protože</w:t>
      </w:r>
      <w:r w:rsidR="005E5F14">
        <w:rPr>
          <w:rFonts w:eastAsia="Calibri" w:cstheme="minorHAnsi"/>
          <w:b/>
          <w:sz w:val="24"/>
          <w:szCs w:val="24"/>
        </w:rPr>
        <w:t xml:space="preserve"> </w:t>
      </w:r>
      <w:r w:rsidR="00D70141">
        <w:rPr>
          <w:rFonts w:eastAsia="Calibri" w:cstheme="minorHAnsi"/>
          <w:b/>
          <w:sz w:val="24"/>
          <w:szCs w:val="24"/>
        </w:rPr>
        <w:t>je</w:t>
      </w:r>
      <w:r w:rsidR="00DE7D8C">
        <w:rPr>
          <w:rFonts w:eastAsia="Calibri" w:cstheme="minorHAnsi"/>
          <w:b/>
          <w:sz w:val="24"/>
          <w:szCs w:val="24"/>
        </w:rPr>
        <w:t>ho</w:t>
      </w:r>
      <w:r w:rsidR="00D70141">
        <w:rPr>
          <w:rFonts w:eastAsia="Calibri" w:cstheme="minorHAnsi"/>
          <w:b/>
          <w:sz w:val="24"/>
          <w:szCs w:val="24"/>
        </w:rPr>
        <w:t xml:space="preserve"> pořízení a provoz </w:t>
      </w:r>
      <w:r w:rsidR="005E5F14">
        <w:rPr>
          <w:rFonts w:eastAsia="Calibri" w:cstheme="minorHAnsi"/>
          <w:b/>
          <w:sz w:val="24"/>
          <w:szCs w:val="24"/>
        </w:rPr>
        <w:t>nevedl</w:t>
      </w:r>
      <w:r w:rsidR="00DE7D8C">
        <w:rPr>
          <w:rFonts w:eastAsia="Calibri" w:cstheme="minorHAnsi"/>
          <w:b/>
          <w:sz w:val="24"/>
          <w:szCs w:val="24"/>
        </w:rPr>
        <w:t>y</w:t>
      </w:r>
      <w:r w:rsidR="005E5F14">
        <w:rPr>
          <w:rFonts w:eastAsia="Calibri" w:cstheme="minorHAnsi"/>
          <w:b/>
          <w:sz w:val="24"/>
          <w:szCs w:val="24"/>
        </w:rPr>
        <w:t xml:space="preserve"> k</w:t>
      </w:r>
      <w:r w:rsidR="00B7078F">
        <w:rPr>
          <w:rFonts w:eastAsia="Calibri" w:cstheme="minorHAnsi"/>
          <w:b/>
          <w:sz w:val="24"/>
          <w:szCs w:val="24"/>
        </w:rPr>
        <w:t> </w:t>
      </w:r>
      <w:r w:rsidR="005E5F14" w:rsidRPr="00FF67F8">
        <w:rPr>
          <w:rFonts w:cstheme="minorHAnsi"/>
          <w:b/>
          <w:sz w:val="24"/>
          <w:szCs w:val="24"/>
        </w:rPr>
        <w:t>účinn</w:t>
      </w:r>
      <w:r w:rsidR="005E5F14">
        <w:rPr>
          <w:rFonts w:cstheme="minorHAnsi"/>
          <w:b/>
          <w:sz w:val="24"/>
          <w:szCs w:val="24"/>
        </w:rPr>
        <w:t>ému</w:t>
      </w:r>
      <w:r w:rsidR="005E5F14" w:rsidRPr="00FF67F8">
        <w:rPr>
          <w:rFonts w:cstheme="minorHAnsi"/>
          <w:b/>
          <w:sz w:val="24"/>
          <w:szCs w:val="24"/>
        </w:rPr>
        <w:t xml:space="preserve"> zjišťov</w:t>
      </w:r>
      <w:r w:rsidR="005E5F14">
        <w:rPr>
          <w:rFonts w:cstheme="minorHAnsi"/>
          <w:b/>
          <w:sz w:val="24"/>
          <w:szCs w:val="24"/>
        </w:rPr>
        <w:t>ání, dokument</w:t>
      </w:r>
      <w:r w:rsidR="00B7078F">
        <w:rPr>
          <w:rFonts w:cstheme="minorHAnsi"/>
          <w:b/>
          <w:sz w:val="24"/>
          <w:szCs w:val="24"/>
        </w:rPr>
        <w:t>ování</w:t>
      </w:r>
      <w:r w:rsidR="005E5F14">
        <w:rPr>
          <w:rFonts w:cstheme="minorHAnsi"/>
          <w:b/>
          <w:sz w:val="24"/>
          <w:szCs w:val="24"/>
        </w:rPr>
        <w:t xml:space="preserve"> a postih</w:t>
      </w:r>
      <w:r w:rsidR="00B7078F">
        <w:rPr>
          <w:rFonts w:cstheme="minorHAnsi"/>
          <w:b/>
          <w:sz w:val="24"/>
          <w:szCs w:val="24"/>
        </w:rPr>
        <w:t>ování</w:t>
      </w:r>
      <w:r w:rsidR="005E5F14">
        <w:rPr>
          <w:rFonts w:cstheme="minorHAnsi"/>
          <w:b/>
          <w:sz w:val="24"/>
          <w:szCs w:val="24"/>
        </w:rPr>
        <w:t xml:space="preserve"> </w:t>
      </w:r>
      <w:r w:rsidR="00D70141">
        <w:rPr>
          <w:rFonts w:cstheme="minorHAnsi"/>
          <w:b/>
          <w:sz w:val="24"/>
          <w:szCs w:val="24"/>
        </w:rPr>
        <w:t>vážních deliktů</w:t>
      </w:r>
      <w:r w:rsidR="00B7078F">
        <w:rPr>
          <w:rFonts w:cstheme="minorHAnsi"/>
          <w:b/>
          <w:sz w:val="24"/>
          <w:szCs w:val="24"/>
        </w:rPr>
        <w:t>,</w:t>
      </w:r>
      <w:r w:rsidR="00D70141">
        <w:rPr>
          <w:rFonts w:cstheme="minorHAnsi"/>
          <w:b/>
          <w:sz w:val="24"/>
          <w:szCs w:val="24"/>
        </w:rPr>
        <w:t xml:space="preserve"> </w:t>
      </w:r>
      <w:r w:rsidR="005E5F14">
        <w:rPr>
          <w:rFonts w:cstheme="minorHAnsi"/>
          <w:b/>
          <w:sz w:val="24"/>
          <w:szCs w:val="24"/>
        </w:rPr>
        <w:t>a</w:t>
      </w:r>
      <w:r w:rsidR="005E5F14" w:rsidRPr="005E5F14">
        <w:rPr>
          <w:rFonts w:eastAsia="Calibri" w:cstheme="minorHAnsi"/>
          <w:b/>
          <w:sz w:val="24"/>
          <w:szCs w:val="24"/>
        </w:rPr>
        <w:t xml:space="preserve"> </w:t>
      </w:r>
      <w:r w:rsidR="005E5F14">
        <w:rPr>
          <w:rFonts w:eastAsia="Calibri" w:cstheme="minorHAnsi"/>
          <w:b/>
          <w:sz w:val="24"/>
          <w:szCs w:val="24"/>
        </w:rPr>
        <w:t>nezaji</w:t>
      </w:r>
      <w:r w:rsidR="00D70141">
        <w:rPr>
          <w:rFonts w:eastAsia="Calibri" w:cstheme="minorHAnsi"/>
          <w:b/>
          <w:sz w:val="24"/>
          <w:szCs w:val="24"/>
        </w:rPr>
        <w:t>stily</w:t>
      </w:r>
      <w:r w:rsidR="005E5F14">
        <w:rPr>
          <w:rFonts w:eastAsia="Calibri" w:cstheme="minorHAnsi"/>
          <w:b/>
          <w:sz w:val="24"/>
          <w:szCs w:val="24"/>
        </w:rPr>
        <w:t xml:space="preserve"> </w:t>
      </w:r>
      <w:r w:rsidR="00D70141">
        <w:rPr>
          <w:rFonts w:eastAsia="Calibri" w:cstheme="minorHAnsi"/>
          <w:b/>
          <w:sz w:val="24"/>
          <w:szCs w:val="24"/>
        </w:rPr>
        <w:t xml:space="preserve">tak </w:t>
      </w:r>
      <w:r w:rsidR="005E5F14">
        <w:rPr>
          <w:rFonts w:eastAsia="Calibri" w:cstheme="minorHAnsi"/>
          <w:b/>
          <w:sz w:val="24"/>
          <w:szCs w:val="24"/>
        </w:rPr>
        <w:t xml:space="preserve">účinnou ochranu dálnic a silnic I. třídy před </w:t>
      </w:r>
      <w:r w:rsidR="00D70141">
        <w:rPr>
          <w:rFonts w:eastAsia="Calibri" w:cstheme="minorHAnsi"/>
          <w:b/>
          <w:sz w:val="24"/>
          <w:szCs w:val="24"/>
        </w:rPr>
        <w:t xml:space="preserve">destrukčním účinkem </w:t>
      </w:r>
      <w:r w:rsidR="005E5F14">
        <w:rPr>
          <w:rFonts w:eastAsia="Calibri" w:cstheme="minorHAnsi"/>
          <w:b/>
          <w:sz w:val="24"/>
          <w:szCs w:val="24"/>
        </w:rPr>
        <w:t>jízd přetížených vozidel</w:t>
      </w:r>
      <w:r w:rsidRPr="00DE0CEE">
        <w:rPr>
          <w:rFonts w:eastAsia="Calibri" w:cstheme="minorHAnsi"/>
          <w:b/>
          <w:sz w:val="24"/>
          <w:szCs w:val="24"/>
        </w:rPr>
        <w:t>.</w:t>
      </w:r>
      <w:r w:rsidR="000A6C4A">
        <w:rPr>
          <w:rFonts w:eastAsia="Calibri" w:cstheme="minorHAnsi"/>
          <w:b/>
          <w:sz w:val="24"/>
          <w:szCs w:val="24"/>
        </w:rPr>
        <w:t xml:space="preserve"> </w:t>
      </w:r>
    </w:p>
    <w:p w14:paraId="53967642" w14:textId="77777777" w:rsidR="004E39B0" w:rsidRPr="00DE0CEE" w:rsidRDefault="004E39B0" w:rsidP="002C4E3B">
      <w:pPr>
        <w:spacing w:after="0" w:line="252" w:lineRule="auto"/>
        <w:contextualSpacing/>
        <w:jc w:val="both"/>
        <w:rPr>
          <w:rFonts w:eastAsia="Calibri" w:cstheme="minorHAnsi"/>
          <w:b/>
          <w:sz w:val="24"/>
          <w:szCs w:val="24"/>
        </w:rPr>
      </w:pPr>
    </w:p>
    <w:p w14:paraId="4E439EBD" w14:textId="1F5787A8" w:rsidR="00911F52" w:rsidRPr="00DE0CEE" w:rsidRDefault="004E39B0" w:rsidP="002C4E3B">
      <w:pPr>
        <w:spacing w:after="0" w:line="252" w:lineRule="auto"/>
        <w:contextualSpacing/>
        <w:jc w:val="both"/>
        <w:rPr>
          <w:rFonts w:eastAsia="Calibri" w:cstheme="minorHAnsi"/>
          <w:b/>
          <w:sz w:val="24"/>
          <w:szCs w:val="24"/>
        </w:rPr>
      </w:pPr>
      <w:r w:rsidRPr="00DE0CEE">
        <w:rPr>
          <w:rFonts w:eastAsia="Calibri" w:cstheme="minorHAnsi"/>
          <w:b/>
          <w:sz w:val="24"/>
          <w:szCs w:val="24"/>
        </w:rPr>
        <w:t>MD nevyhodnocovalo stav dané oblasti a nepřijímalo účinná opatření pro omezení vzniku těchto škod. Neplnilo tak povinnosti uložené mu právním předpis</w:t>
      </w:r>
      <w:r w:rsidR="000128B9" w:rsidRPr="00DE0CEE">
        <w:rPr>
          <w:rFonts w:eastAsia="Calibri" w:cstheme="minorHAnsi"/>
          <w:b/>
          <w:sz w:val="24"/>
          <w:szCs w:val="24"/>
        </w:rPr>
        <w:t>em</w:t>
      </w:r>
      <w:r w:rsidRPr="00DE0CEE">
        <w:rPr>
          <w:rStyle w:val="Znakapoznpodarou"/>
          <w:rFonts w:eastAsia="Calibri" w:cstheme="minorHAnsi"/>
          <w:b/>
          <w:sz w:val="24"/>
          <w:szCs w:val="24"/>
        </w:rPr>
        <w:footnoteReference w:id="4"/>
      </w:r>
      <w:r w:rsidRPr="00DE0CEE">
        <w:rPr>
          <w:rFonts w:eastAsia="Calibri" w:cstheme="minorHAnsi"/>
          <w:b/>
          <w:sz w:val="24"/>
          <w:szCs w:val="24"/>
        </w:rPr>
        <w:t xml:space="preserve">. ŘSD </w:t>
      </w:r>
      <w:r w:rsidR="00B7078F">
        <w:rPr>
          <w:rFonts w:eastAsia="Calibri" w:cstheme="minorHAnsi"/>
          <w:b/>
          <w:sz w:val="24"/>
          <w:szCs w:val="24"/>
        </w:rPr>
        <w:t xml:space="preserve">v některých případech </w:t>
      </w:r>
      <w:r w:rsidRPr="00DE0CEE">
        <w:rPr>
          <w:rFonts w:eastAsia="Calibri" w:cstheme="minorHAnsi"/>
          <w:b/>
          <w:sz w:val="24"/>
          <w:szCs w:val="24"/>
        </w:rPr>
        <w:t>při poř</w:t>
      </w:r>
      <w:r w:rsidR="005F2031">
        <w:rPr>
          <w:rFonts w:eastAsia="Calibri" w:cstheme="minorHAnsi"/>
          <w:b/>
          <w:sz w:val="24"/>
          <w:szCs w:val="24"/>
        </w:rPr>
        <w:t xml:space="preserve">izování </w:t>
      </w:r>
      <w:r w:rsidRPr="00DE0CEE">
        <w:rPr>
          <w:rFonts w:eastAsia="Calibri" w:cstheme="minorHAnsi"/>
          <w:b/>
          <w:sz w:val="24"/>
          <w:szCs w:val="24"/>
        </w:rPr>
        <w:t>a provoz</w:t>
      </w:r>
      <w:r w:rsidR="005F2031">
        <w:rPr>
          <w:rFonts w:eastAsia="Calibri" w:cstheme="minorHAnsi"/>
          <w:b/>
          <w:sz w:val="24"/>
          <w:szCs w:val="24"/>
        </w:rPr>
        <w:t>ování</w:t>
      </w:r>
      <w:r w:rsidRPr="00DE0CEE">
        <w:rPr>
          <w:rFonts w:eastAsia="Calibri" w:cstheme="minorHAnsi"/>
          <w:b/>
          <w:sz w:val="24"/>
          <w:szCs w:val="24"/>
        </w:rPr>
        <w:t xml:space="preserve"> vysokorychlostních vah nepostupovalo v souladu s právními předpisy</w:t>
      </w:r>
      <w:r w:rsidRPr="00DE0CEE">
        <w:rPr>
          <w:rStyle w:val="Znakapoznpodarou"/>
          <w:rFonts w:eastAsia="Calibri" w:cstheme="minorHAnsi"/>
          <w:b/>
          <w:sz w:val="24"/>
          <w:szCs w:val="24"/>
        </w:rPr>
        <w:footnoteReference w:id="5"/>
      </w:r>
      <w:r w:rsidRPr="00DE0CEE">
        <w:rPr>
          <w:rFonts w:eastAsia="Calibri" w:cstheme="minorHAnsi"/>
          <w:b/>
          <w:sz w:val="24"/>
          <w:szCs w:val="24"/>
          <w:vertAlign w:val="superscript"/>
        </w:rPr>
        <w:t>,</w:t>
      </w:r>
      <w:r w:rsidR="00B7078F">
        <w:rPr>
          <w:rFonts w:eastAsia="Calibri" w:cstheme="minorHAnsi"/>
          <w:b/>
          <w:sz w:val="24"/>
          <w:szCs w:val="24"/>
          <w:vertAlign w:val="superscript"/>
        </w:rPr>
        <w:t xml:space="preserve"> </w:t>
      </w:r>
      <w:r w:rsidRPr="00DE0CEE">
        <w:rPr>
          <w:rStyle w:val="Znakapoznpodarou"/>
          <w:rFonts w:eastAsia="Calibri" w:cstheme="minorHAnsi"/>
          <w:b/>
          <w:sz w:val="24"/>
          <w:szCs w:val="24"/>
        </w:rPr>
        <w:footnoteReference w:id="6"/>
      </w:r>
      <w:r w:rsidRPr="00DE0CEE">
        <w:rPr>
          <w:rFonts w:eastAsia="Calibri" w:cstheme="minorHAnsi"/>
          <w:b/>
          <w:sz w:val="24"/>
          <w:szCs w:val="24"/>
        </w:rPr>
        <w:t xml:space="preserve">. Peněžní prostředky státu v celkové výši </w:t>
      </w:r>
      <w:r w:rsidR="004F6908" w:rsidRPr="00DE0CEE">
        <w:rPr>
          <w:rFonts w:eastAsia="Calibri" w:cstheme="minorHAnsi"/>
          <w:b/>
          <w:sz w:val="24"/>
          <w:szCs w:val="24"/>
        </w:rPr>
        <w:t>28</w:t>
      </w:r>
      <w:r w:rsidRPr="00DE0CEE">
        <w:rPr>
          <w:rFonts w:eastAsia="Calibri" w:cstheme="minorHAnsi"/>
          <w:b/>
          <w:sz w:val="24"/>
          <w:szCs w:val="24"/>
        </w:rPr>
        <w:t>,</w:t>
      </w:r>
      <w:r w:rsidR="004F6908" w:rsidRPr="00DE0CEE">
        <w:rPr>
          <w:rFonts w:eastAsia="Calibri" w:cstheme="minorHAnsi"/>
          <w:b/>
          <w:sz w:val="24"/>
          <w:szCs w:val="24"/>
        </w:rPr>
        <w:t>92</w:t>
      </w:r>
      <w:r w:rsidRPr="00DE0CEE">
        <w:rPr>
          <w:rFonts w:eastAsia="Calibri" w:cstheme="minorHAnsi"/>
          <w:b/>
          <w:sz w:val="24"/>
          <w:szCs w:val="24"/>
        </w:rPr>
        <w:t xml:space="preserve"> mil. Kč na pořízení </w:t>
      </w:r>
      <w:r w:rsidR="0009342B">
        <w:rPr>
          <w:rFonts w:eastAsia="Calibri" w:cstheme="minorHAnsi"/>
          <w:b/>
          <w:sz w:val="24"/>
          <w:szCs w:val="24"/>
        </w:rPr>
        <w:br/>
      </w:r>
      <w:r w:rsidRPr="00DE0CEE">
        <w:rPr>
          <w:rFonts w:eastAsia="Calibri" w:cstheme="minorHAnsi"/>
          <w:b/>
          <w:sz w:val="24"/>
          <w:szCs w:val="24"/>
        </w:rPr>
        <w:lastRenderedPageBreak/>
        <w:t>a</w:t>
      </w:r>
      <w:r w:rsidR="0009342B">
        <w:rPr>
          <w:rFonts w:eastAsia="Calibri" w:cstheme="minorHAnsi"/>
          <w:b/>
          <w:sz w:val="24"/>
          <w:szCs w:val="24"/>
        </w:rPr>
        <w:t xml:space="preserve"> </w:t>
      </w:r>
      <w:r w:rsidRPr="00DE0CEE">
        <w:rPr>
          <w:rFonts w:eastAsia="Calibri" w:cstheme="minorHAnsi"/>
          <w:b/>
          <w:sz w:val="24"/>
          <w:szCs w:val="24"/>
        </w:rPr>
        <w:t xml:space="preserve">provoz vysokorychlostních vah </w:t>
      </w:r>
      <w:r w:rsidR="00AC030D" w:rsidRPr="00DE0CEE">
        <w:rPr>
          <w:rFonts w:eastAsia="Calibri" w:cstheme="minorHAnsi"/>
          <w:b/>
          <w:sz w:val="24"/>
          <w:szCs w:val="24"/>
        </w:rPr>
        <w:t xml:space="preserve">vynaložilo </w:t>
      </w:r>
      <w:r w:rsidR="00B7078F" w:rsidRPr="00DE0CEE">
        <w:rPr>
          <w:rFonts w:eastAsia="Calibri" w:cstheme="minorHAnsi"/>
          <w:b/>
          <w:sz w:val="24"/>
          <w:szCs w:val="24"/>
        </w:rPr>
        <w:t xml:space="preserve">ŘSD </w:t>
      </w:r>
      <w:r w:rsidRPr="00DE0CEE">
        <w:rPr>
          <w:rFonts w:eastAsia="Calibri" w:cstheme="minorHAnsi"/>
          <w:b/>
          <w:sz w:val="24"/>
          <w:szCs w:val="24"/>
        </w:rPr>
        <w:t>neúčelně</w:t>
      </w:r>
      <w:r w:rsidR="00EA6F74">
        <w:rPr>
          <w:rFonts w:eastAsia="Calibri" w:cstheme="minorHAnsi"/>
          <w:b/>
          <w:sz w:val="24"/>
          <w:szCs w:val="24"/>
        </w:rPr>
        <w:t xml:space="preserve"> a</w:t>
      </w:r>
      <w:r w:rsidR="00AC030D" w:rsidRPr="00DE0CEE">
        <w:rPr>
          <w:rFonts w:eastAsia="Calibri" w:cstheme="minorHAnsi"/>
          <w:b/>
          <w:sz w:val="24"/>
          <w:szCs w:val="24"/>
        </w:rPr>
        <w:t xml:space="preserve"> nehospodárně, </w:t>
      </w:r>
      <w:r w:rsidRPr="00DE0CEE">
        <w:rPr>
          <w:rFonts w:eastAsia="Calibri" w:cstheme="minorHAnsi"/>
          <w:b/>
          <w:sz w:val="24"/>
          <w:szCs w:val="24"/>
        </w:rPr>
        <w:t>což NKÚ vyhodnotil jako skutečnost nasvědčující porušení rozpočtové kázně.</w:t>
      </w:r>
      <w:r w:rsidR="004F6908" w:rsidRPr="00DE0CEE">
        <w:rPr>
          <w:rFonts w:eastAsia="Calibri" w:cstheme="minorHAnsi"/>
          <w:b/>
          <w:sz w:val="24"/>
          <w:szCs w:val="24"/>
        </w:rPr>
        <w:t xml:space="preserve"> </w:t>
      </w:r>
    </w:p>
    <w:p w14:paraId="132D8D8F" w14:textId="77777777" w:rsidR="004E39B0" w:rsidRPr="00DE0CEE" w:rsidRDefault="004E39B0" w:rsidP="002C4E3B">
      <w:pPr>
        <w:spacing w:after="0" w:line="252" w:lineRule="auto"/>
        <w:contextualSpacing/>
        <w:jc w:val="both"/>
        <w:rPr>
          <w:rFonts w:eastAsia="Calibri" w:cstheme="minorHAnsi"/>
          <w:b/>
          <w:sz w:val="24"/>
          <w:szCs w:val="24"/>
        </w:rPr>
      </w:pPr>
      <w:bookmarkStart w:id="11" w:name="_Hlk189542795"/>
    </w:p>
    <w:p w14:paraId="559C52B5" w14:textId="2018CA4E" w:rsidR="004E7DFE" w:rsidRDefault="00911F52" w:rsidP="002C4E3B">
      <w:pPr>
        <w:spacing w:after="0" w:line="252" w:lineRule="auto"/>
        <w:contextualSpacing/>
        <w:jc w:val="both"/>
        <w:rPr>
          <w:rFonts w:eastAsia="Calibri" w:cstheme="minorHAnsi"/>
          <w:b/>
          <w:sz w:val="24"/>
          <w:szCs w:val="24"/>
        </w:rPr>
      </w:pPr>
      <w:r>
        <w:rPr>
          <w:rFonts w:eastAsia="Calibri" w:cstheme="minorHAnsi"/>
          <w:b/>
          <w:sz w:val="24"/>
          <w:szCs w:val="24"/>
        </w:rPr>
        <w:t>Nízké příjmy SFDI z pokut z VKV svědčí o neúspěšnosti postih</w:t>
      </w:r>
      <w:r w:rsidR="005F2031">
        <w:rPr>
          <w:rFonts w:eastAsia="Calibri" w:cstheme="minorHAnsi"/>
          <w:b/>
          <w:sz w:val="24"/>
          <w:szCs w:val="24"/>
        </w:rPr>
        <w:t>ování</w:t>
      </w:r>
      <w:r>
        <w:rPr>
          <w:rFonts w:eastAsia="Calibri" w:cstheme="minorHAnsi"/>
          <w:b/>
          <w:sz w:val="24"/>
          <w:szCs w:val="24"/>
        </w:rPr>
        <w:t xml:space="preserve"> vážních deliktů. </w:t>
      </w:r>
      <w:r w:rsidR="004E39B0" w:rsidRPr="00DE0CEE">
        <w:rPr>
          <w:rFonts w:eastAsia="Calibri" w:cstheme="minorHAnsi"/>
          <w:b/>
          <w:sz w:val="24"/>
          <w:szCs w:val="24"/>
        </w:rPr>
        <w:t xml:space="preserve">Úpravy podmínek </w:t>
      </w:r>
      <w:r w:rsidR="001E6071" w:rsidRPr="00DE0CEE">
        <w:rPr>
          <w:rFonts w:eastAsia="Calibri" w:cstheme="minorHAnsi"/>
          <w:b/>
          <w:sz w:val="24"/>
          <w:szCs w:val="24"/>
        </w:rPr>
        <w:t>VKV</w:t>
      </w:r>
      <w:r w:rsidR="004E39B0" w:rsidRPr="00DE0CEE">
        <w:rPr>
          <w:rFonts w:eastAsia="Calibri" w:cstheme="minorHAnsi"/>
          <w:b/>
          <w:sz w:val="24"/>
          <w:szCs w:val="24"/>
        </w:rPr>
        <w:t>, které provedlo MD v</w:t>
      </w:r>
      <w:r w:rsidR="00871C73">
        <w:rPr>
          <w:rFonts w:eastAsia="Calibri" w:cstheme="minorHAnsi"/>
          <w:b/>
          <w:sz w:val="24"/>
          <w:szCs w:val="24"/>
        </w:rPr>
        <w:t xml:space="preserve"> </w:t>
      </w:r>
      <w:r w:rsidR="004E39B0" w:rsidRPr="00DE0CEE">
        <w:rPr>
          <w:rFonts w:eastAsia="Calibri" w:cstheme="minorHAnsi"/>
          <w:b/>
          <w:sz w:val="24"/>
          <w:szCs w:val="24"/>
        </w:rPr>
        <w:t>letech 2022 a 2024</w:t>
      </w:r>
      <w:r w:rsidR="004E39B0" w:rsidRPr="00DE0CEE">
        <w:rPr>
          <w:rStyle w:val="Znakapoznpodarou"/>
          <w:rFonts w:eastAsia="Calibri" w:cstheme="minorHAnsi"/>
          <w:b/>
          <w:sz w:val="24"/>
          <w:szCs w:val="24"/>
        </w:rPr>
        <w:footnoteReference w:id="7"/>
      </w:r>
      <w:r w:rsidR="00790A1F">
        <w:rPr>
          <w:rFonts w:eastAsia="Calibri" w:cstheme="minorHAnsi"/>
          <w:b/>
          <w:sz w:val="24"/>
          <w:szCs w:val="24"/>
        </w:rPr>
        <w:t>,</w:t>
      </w:r>
      <w:r w:rsidR="004E39B0" w:rsidRPr="00DE0CEE">
        <w:rPr>
          <w:rFonts w:eastAsia="Calibri" w:cstheme="minorHAnsi"/>
          <w:b/>
          <w:sz w:val="24"/>
          <w:szCs w:val="24"/>
        </w:rPr>
        <w:t xml:space="preserve"> nezajistily omezení jízd přetížených vozidel, ale vedou k omezení jejich postihu. Důsledky těchto úprav pro ochranu dopravní infrastruktury jsou negativní. </w:t>
      </w:r>
    </w:p>
    <w:p w14:paraId="691DC696" w14:textId="77777777" w:rsidR="004E7DFE" w:rsidRDefault="004E7DFE" w:rsidP="002C4E3B">
      <w:pPr>
        <w:spacing w:after="0" w:line="252" w:lineRule="auto"/>
        <w:contextualSpacing/>
        <w:jc w:val="both"/>
        <w:rPr>
          <w:rFonts w:eastAsia="Calibri" w:cstheme="minorHAnsi"/>
          <w:b/>
          <w:sz w:val="24"/>
          <w:szCs w:val="24"/>
        </w:rPr>
      </w:pPr>
    </w:p>
    <w:p w14:paraId="36586AB8" w14:textId="6E652DDB" w:rsidR="004E39B0" w:rsidRPr="00DE0CEE" w:rsidRDefault="00EB297F" w:rsidP="002C4E3B">
      <w:pPr>
        <w:spacing w:after="0" w:line="252" w:lineRule="auto"/>
        <w:contextualSpacing/>
        <w:jc w:val="both"/>
        <w:rPr>
          <w:rFonts w:eastAsia="Calibri" w:cstheme="minorHAnsi"/>
          <w:b/>
          <w:sz w:val="24"/>
          <w:szCs w:val="24"/>
        </w:rPr>
      </w:pPr>
      <w:r>
        <w:rPr>
          <w:rFonts w:eastAsia="Calibri" w:cstheme="minorHAnsi"/>
          <w:b/>
          <w:sz w:val="24"/>
          <w:szCs w:val="24"/>
        </w:rPr>
        <w:t xml:space="preserve">Nezajištění účinnosti kontrolního vážení ve smyslu jeho </w:t>
      </w:r>
      <w:r w:rsidR="00FC0F2B">
        <w:rPr>
          <w:rFonts w:eastAsia="Calibri" w:cstheme="minorHAnsi"/>
          <w:b/>
          <w:sz w:val="24"/>
          <w:szCs w:val="24"/>
        </w:rPr>
        <w:t xml:space="preserve">represivní </w:t>
      </w:r>
      <w:r>
        <w:rPr>
          <w:rFonts w:eastAsia="Calibri" w:cstheme="minorHAnsi"/>
          <w:b/>
          <w:sz w:val="24"/>
          <w:szCs w:val="24"/>
        </w:rPr>
        <w:t xml:space="preserve">a preventivní funkce představuje riziko dalšího neúčelného a nehospodárného vynakládání peněžních prostředků, a to jak při pořizování </w:t>
      </w:r>
      <w:r w:rsidR="00FC0F2B">
        <w:rPr>
          <w:rFonts w:eastAsia="Calibri" w:cstheme="minorHAnsi"/>
          <w:b/>
          <w:sz w:val="24"/>
          <w:szCs w:val="24"/>
        </w:rPr>
        <w:t xml:space="preserve">dalších </w:t>
      </w:r>
      <w:r>
        <w:rPr>
          <w:rFonts w:eastAsia="Calibri" w:cstheme="minorHAnsi"/>
          <w:b/>
          <w:sz w:val="24"/>
          <w:szCs w:val="24"/>
        </w:rPr>
        <w:t>systémů kontrolního vážení, tak z</w:t>
      </w:r>
      <w:r w:rsidR="005F2031">
        <w:rPr>
          <w:rFonts w:eastAsia="Calibri" w:cstheme="minorHAnsi"/>
          <w:b/>
          <w:sz w:val="24"/>
          <w:szCs w:val="24"/>
        </w:rPr>
        <w:t xml:space="preserve"> </w:t>
      </w:r>
      <w:r w:rsidR="00FC0F2B">
        <w:rPr>
          <w:rFonts w:eastAsia="Calibri" w:cstheme="minorHAnsi"/>
          <w:b/>
          <w:sz w:val="24"/>
          <w:szCs w:val="24"/>
        </w:rPr>
        <w:t xml:space="preserve">důvodu </w:t>
      </w:r>
      <w:r>
        <w:rPr>
          <w:rFonts w:eastAsia="Calibri" w:cstheme="minorHAnsi"/>
          <w:b/>
          <w:sz w:val="24"/>
          <w:szCs w:val="24"/>
        </w:rPr>
        <w:t>zvýšených nákladů na opravy</w:t>
      </w:r>
      <w:r w:rsidR="0095438F">
        <w:rPr>
          <w:rFonts w:eastAsia="Calibri" w:cstheme="minorHAnsi"/>
          <w:b/>
          <w:sz w:val="24"/>
          <w:szCs w:val="24"/>
        </w:rPr>
        <w:t xml:space="preserve"> a rekonstrukce</w:t>
      </w:r>
      <w:r>
        <w:rPr>
          <w:rFonts w:eastAsia="Calibri" w:cstheme="minorHAnsi"/>
          <w:b/>
          <w:sz w:val="24"/>
          <w:szCs w:val="24"/>
        </w:rPr>
        <w:t xml:space="preserve"> komunikací </w:t>
      </w:r>
      <w:r w:rsidR="004E7DFE">
        <w:rPr>
          <w:rFonts w:eastAsia="Calibri" w:cstheme="minorHAnsi"/>
          <w:b/>
          <w:sz w:val="24"/>
          <w:szCs w:val="24"/>
        </w:rPr>
        <w:t xml:space="preserve">kvůli jejich pokračujícímu poškozování jízdami </w:t>
      </w:r>
      <w:r>
        <w:rPr>
          <w:rFonts w:eastAsia="Calibri" w:cstheme="minorHAnsi"/>
          <w:b/>
          <w:sz w:val="24"/>
          <w:szCs w:val="24"/>
        </w:rPr>
        <w:t>přetížených vozidel.</w:t>
      </w:r>
    </w:p>
    <w:bookmarkEnd w:id="11"/>
    <w:p w14:paraId="7902E2D7" w14:textId="77777777" w:rsidR="004E39B0" w:rsidRPr="00DE0CEE" w:rsidRDefault="004E39B0" w:rsidP="002C4E3B">
      <w:pPr>
        <w:spacing w:after="0" w:line="252" w:lineRule="auto"/>
        <w:contextualSpacing/>
        <w:jc w:val="both"/>
        <w:rPr>
          <w:rFonts w:cstheme="minorHAnsi"/>
          <w:sz w:val="24"/>
          <w:szCs w:val="24"/>
        </w:rPr>
      </w:pPr>
    </w:p>
    <w:p w14:paraId="7EC555AD" w14:textId="398E10E1" w:rsidR="004E39B0" w:rsidRPr="00DE0CEE" w:rsidRDefault="00C14469" w:rsidP="00C14469">
      <w:pPr>
        <w:pStyle w:val="Odstavecseseznamem"/>
        <w:spacing w:after="0" w:line="252" w:lineRule="auto"/>
        <w:ind w:left="0"/>
        <w:jc w:val="both"/>
        <w:rPr>
          <w:rFonts w:eastAsia="Calibri" w:cstheme="minorHAnsi"/>
          <w:b/>
          <w:sz w:val="24"/>
          <w:szCs w:val="24"/>
        </w:rPr>
      </w:pPr>
      <w:r>
        <w:rPr>
          <w:rFonts w:cstheme="minorHAnsi"/>
          <w:sz w:val="24"/>
          <w:szCs w:val="24"/>
        </w:rPr>
        <w:t xml:space="preserve">1.5 </w:t>
      </w:r>
      <w:r w:rsidR="004E39B0" w:rsidRPr="00DE0CEE">
        <w:rPr>
          <w:rFonts w:cstheme="minorHAnsi"/>
          <w:sz w:val="24"/>
          <w:szCs w:val="24"/>
        </w:rPr>
        <w:t>Toto celkové vyhodnocení vyplývá z následujících zjištění:</w:t>
      </w:r>
    </w:p>
    <w:p w14:paraId="7374CC8C" w14:textId="77777777" w:rsidR="004E39B0" w:rsidRPr="00DE0CEE" w:rsidRDefault="004E39B0" w:rsidP="002C4E3B">
      <w:pPr>
        <w:spacing w:after="0" w:line="252" w:lineRule="auto"/>
        <w:contextualSpacing/>
        <w:jc w:val="both"/>
        <w:rPr>
          <w:rFonts w:cstheme="minorHAnsi"/>
          <w:sz w:val="24"/>
          <w:szCs w:val="24"/>
        </w:rPr>
      </w:pPr>
    </w:p>
    <w:p w14:paraId="62D81D0E" w14:textId="2BF465D3" w:rsidR="004E39B0" w:rsidRPr="00DE0CEE" w:rsidRDefault="004E39B0" w:rsidP="00755E60">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t>MD ani ŘSD před zavedením kontrolního vážení neprovedly analýzu výchozího stavu dané oblasti a možných řešení. Neměly žádný konkrétní plán pro vybudování a využití systému kontrolního vážení. Nestanovily žádné měřitelné cíle ani ukazatele pro vyhodnocení výsledků provozu tohoto systému. Analýzu možností zavedení a provoz</w:t>
      </w:r>
      <w:r w:rsidR="005F2031">
        <w:rPr>
          <w:rFonts w:cstheme="minorHAnsi"/>
          <w:sz w:val="24"/>
          <w:szCs w:val="24"/>
        </w:rPr>
        <w:t>ování</w:t>
      </w:r>
      <w:r w:rsidRPr="00DE0CEE">
        <w:rPr>
          <w:rFonts w:cstheme="minorHAnsi"/>
          <w:sz w:val="24"/>
          <w:szCs w:val="24"/>
        </w:rPr>
        <w:t xml:space="preserve"> kontrolního vážení obdrželo </w:t>
      </w:r>
      <w:r w:rsidR="005F2031" w:rsidRPr="00DE0CEE">
        <w:rPr>
          <w:rFonts w:cstheme="minorHAnsi"/>
          <w:sz w:val="24"/>
          <w:szCs w:val="24"/>
        </w:rPr>
        <w:t xml:space="preserve">ŘSD </w:t>
      </w:r>
      <w:r w:rsidRPr="00DE0CEE">
        <w:rPr>
          <w:rFonts w:cstheme="minorHAnsi"/>
          <w:sz w:val="24"/>
          <w:szCs w:val="24"/>
        </w:rPr>
        <w:t>až v červenci 2021</w:t>
      </w:r>
      <w:r w:rsidR="00552426" w:rsidRPr="00DE0CEE">
        <w:rPr>
          <w:rStyle w:val="Znakapoznpodarou"/>
          <w:rFonts w:cstheme="minorHAnsi"/>
          <w:sz w:val="24"/>
          <w:szCs w:val="24"/>
        </w:rPr>
        <w:footnoteReference w:id="8"/>
      </w:r>
      <w:r w:rsidRPr="00DE0CEE">
        <w:rPr>
          <w:rFonts w:cstheme="minorHAnsi"/>
          <w:sz w:val="24"/>
          <w:szCs w:val="24"/>
        </w:rPr>
        <w:t xml:space="preserve">, tedy více než rok po zprovoznění prvních vah pro </w:t>
      </w:r>
      <w:r w:rsidR="002340C0" w:rsidRPr="00DE0CEE">
        <w:rPr>
          <w:rFonts w:cstheme="minorHAnsi"/>
          <w:sz w:val="24"/>
          <w:szCs w:val="24"/>
        </w:rPr>
        <w:t>VK</w:t>
      </w:r>
      <w:r w:rsidR="00836637" w:rsidRPr="00DE0CEE">
        <w:rPr>
          <w:rFonts w:cstheme="minorHAnsi"/>
          <w:sz w:val="24"/>
          <w:szCs w:val="24"/>
        </w:rPr>
        <w:t>V</w:t>
      </w:r>
      <w:r w:rsidR="002340C0" w:rsidRPr="00DE0CEE">
        <w:rPr>
          <w:rFonts w:cstheme="minorHAnsi"/>
          <w:sz w:val="24"/>
          <w:szCs w:val="24"/>
        </w:rPr>
        <w:t>.</w:t>
      </w:r>
      <w:r w:rsidRPr="00DE0CEE">
        <w:rPr>
          <w:rFonts w:cstheme="minorHAnsi"/>
          <w:sz w:val="24"/>
          <w:szCs w:val="24"/>
        </w:rPr>
        <w:t xml:space="preserve"> MD </w:t>
      </w:r>
      <w:r w:rsidR="00EB2D14">
        <w:rPr>
          <w:rFonts w:cstheme="minorHAnsi"/>
          <w:sz w:val="24"/>
          <w:szCs w:val="24"/>
        </w:rPr>
        <w:t>tuto analýzu mělo k</w:t>
      </w:r>
      <w:r w:rsidR="00C60751">
        <w:rPr>
          <w:rFonts w:cstheme="minorHAnsi"/>
          <w:sz w:val="24"/>
          <w:szCs w:val="24"/>
        </w:rPr>
        <w:t xml:space="preserve"> </w:t>
      </w:r>
      <w:r w:rsidR="00EB2D14">
        <w:rPr>
          <w:rFonts w:cstheme="minorHAnsi"/>
          <w:sz w:val="24"/>
          <w:szCs w:val="24"/>
        </w:rPr>
        <w:t xml:space="preserve">dispozici, </w:t>
      </w:r>
      <w:r w:rsidRPr="00DE0CEE">
        <w:rPr>
          <w:rFonts w:cstheme="minorHAnsi"/>
          <w:sz w:val="24"/>
          <w:szCs w:val="24"/>
        </w:rPr>
        <w:t xml:space="preserve">ale podle </w:t>
      </w:r>
      <w:r w:rsidR="005F2031">
        <w:rPr>
          <w:rFonts w:cstheme="minorHAnsi"/>
          <w:sz w:val="24"/>
          <w:szCs w:val="24"/>
        </w:rPr>
        <w:t>jejích</w:t>
      </w:r>
      <w:r w:rsidR="00EB2D14">
        <w:rPr>
          <w:rFonts w:cstheme="minorHAnsi"/>
          <w:sz w:val="24"/>
          <w:szCs w:val="24"/>
        </w:rPr>
        <w:t xml:space="preserve"> </w:t>
      </w:r>
      <w:r w:rsidRPr="00DE0CEE">
        <w:rPr>
          <w:rFonts w:cstheme="minorHAnsi"/>
          <w:sz w:val="24"/>
          <w:szCs w:val="24"/>
        </w:rPr>
        <w:t>doporučení nepostupoval</w:t>
      </w:r>
      <w:r w:rsidR="002050DC" w:rsidRPr="00DE0CEE">
        <w:rPr>
          <w:rFonts w:cstheme="minorHAnsi"/>
          <w:sz w:val="24"/>
          <w:szCs w:val="24"/>
        </w:rPr>
        <w:t>o</w:t>
      </w:r>
      <w:r w:rsidR="006847E1" w:rsidRPr="00DE0CEE">
        <w:rPr>
          <w:rFonts w:cstheme="minorHAnsi"/>
          <w:sz w:val="24"/>
          <w:szCs w:val="24"/>
        </w:rPr>
        <w:t xml:space="preserve"> (viz</w:t>
      </w:r>
      <w:r w:rsidR="00C60751">
        <w:rPr>
          <w:rFonts w:cstheme="minorHAnsi"/>
          <w:sz w:val="24"/>
          <w:szCs w:val="24"/>
        </w:rPr>
        <w:t> </w:t>
      </w:r>
      <w:r w:rsidR="006847E1" w:rsidRPr="00DE0CEE">
        <w:rPr>
          <w:rFonts w:cstheme="minorHAnsi"/>
          <w:sz w:val="24"/>
          <w:szCs w:val="24"/>
        </w:rPr>
        <w:t>odst</w:t>
      </w:r>
      <w:r w:rsidR="00AB0823" w:rsidRPr="00DE0CEE">
        <w:rPr>
          <w:rFonts w:cstheme="minorHAnsi"/>
          <w:sz w:val="24"/>
          <w:szCs w:val="24"/>
        </w:rPr>
        <w:t>.</w:t>
      </w:r>
      <w:r w:rsidR="005F2031">
        <w:rPr>
          <w:rFonts w:cstheme="minorHAnsi"/>
          <w:sz w:val="24"/>
          <w:szCs w:val="24"/>
        </w:rPr>
        <w:t> </w:t>
      </w:r>
      <w:r w:rsidR="006847E1" w:rsidRPr="00DE0CEE">
        <w:rPr>
          <w:rFonts w:cstheme="minorHAnsi"/>
          <w:sz w:val="24"/>
          <w:szCs w:val="24"/>
        </w:rPr>
        <w:t>4.</w:t>
      </w:r>
      <w:r w:rsidR="00DE0CEE" w:rsidRPr="00DE0CEE">
        <w:rPr>
          <w:rFonts w:cstheme="minorHAnsi"/>
          <w:sz w:val="24"/>
          <w:szCs w:val="24"/>
        </w:rPr>
        <w:t>5</w:t>
      </w:r>
      <w:r w:rsidR="00755E60" w:rsidRPr="00DE0CEE">
        <w:rPr>
          <w:rFonts w:cstheme="minorHAnsi"/>
          <w:sz w:val="24"/>
          <w:szCs w:val="24"/>
        </w:rPr>
        <w:t>.</w:t>
      </w:r>
      <w:r w:rsidR="00FA3F22">
        <w:rPr>
          <w:rFonts w:cstheme="minorHAnsi"/>
          <w:sz w:val="24"/>
          <w:szCs w:val="24"/>
        </w:rPr>
        <w:t>–</w:t>
      </w:r>
      <w:r w:rsidR="00755E60" w:rsidRPr="00DE0CEE">
        <w:rPr>
          <w:rFonts w:cstheme="minorHAnsi"/>
          <w:sz w:val="24"/>
          <w:szCs w:val="24"/>
        </w:rPr>
        <w:t>4.1</w:t>
      </w:r>
      <w:r w:rsidR="00DE0CEE" w:rsidRPr="00DE0CEE">
        <w:rPr>
          <w:rFonts w:cstheme="minorHAnsi"/>
          <w:sz w:val="24"/>
          <w:szCs w:val="24"/>
        </w:rPr>
        <w:t>1</w:t>
      </w:r>
      <w:r w:rsidR="006847E1" w:rsidRPr="00DE0CEE">
        <w:rPr>
          <w:rFonts w:cstheme="minorHAnsi"/>
          <w:sz w:val="24"/>
          <w:szCs w:val="24"/>
        </w:rPr>
        <w:t>)</w:t>
      </w:r>
      <w:r w:rsidRPr="00DE0CEE">
        <w:rPr>
          <w:rFonts w:cstheme="minorHAnsi"/>
          <w:sz w:val="24"/>
          <w:szCs w:val="24"/>
        </w:rPr>
        <w:t xml:space="preserve">. </w:t>
      </w:r>
    </w:p>
    <w:p w14:paraId="17DF8837" w14:textId="77777777" w:rsidR="004E39B0" w:rsidRPr="00DE0CEE" w:rsidRDefault="004E39B0" w:rsidP="002C4E3B">
      <w:pPr>
        <w:pStyle w:val="Odstavecseseznamem"/>
        <w:spacing w:after="0" w:line="252" w:lineRule="auto"/>
        <w:ind w:left="284"/>
        <w:jc w:val="both"/>
        <w:rPr>
          <w:rFonts w:cstheme="minorHAnsi"/>
          <w:sz w:val="24"/>
          <w:szCs w:val="24"/>
        </w:rPr>
      </w:pPr>
    </w:p>
    <w:p w14:paraId="75796F8F" w14:textId="59F31735" w:rsidR="008C5D26" w:rsidRPr="00DE0CEE" w:rsidRDefault="004E39B0" w:rsidP="008C5D26">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t xml:space="preserve">Závažné nedostatky způsobující omezenou funkčnost VKV, na které ŘSD </w:t>
      </w:r>
      <w:r w:rsidR="00AB4E01" w:rsidRPr="00DE0CEE">
        <w:rPr>
          <w:rFonts w:cstheme="minorHAnsi"/>
          <w:sz w:val="24"/>
          <w:szCs w:val="24"/>
        </w:rPr>
        <w:t xml:space="preserve">už </w:t>
      </w:r>
      <w:r w:rsidRPr="00DE0CEE">
        <w:rPr>
          <w:rFonts w:cstheme="minorHAnsi"/>
          <w:sz w:val="24"/>
          <w:szCs w:val="24"/>
        </w:rPr>
        <w:t xml:space="preserve">v letech 2020 </w:t>
      </w:r>
      <w:r w:rsidR="0028088D">
        <w:rPr>
          <w:rFonts w:cstheme="minorHAnsi"/>
          <w:sz w:val="24"/>
          <w:szCs w:val="24"/>
        </w:rPr>
        <w:br/>
      </w:r>
      <w:r w:rsidRPr="00DE0CEE">
        <w:rPr>
          <w:rFonts w:cstheme="minorHAnsi"/>
          <w:sz w:val="24"/>
          <w:szCs w:val="24"/>
        </w:rPr>
        <w:t>a 2021 písemně upozorňovalo MD, nebyly odstraněny. MD nevyřešilo několik zásadních legislativních a provozně organizačních problémů</w:t>
      </w:r>
      <w:r w:rsidR="00B50195">
        <w:rPr>
          <w:rStyle w:val="Znakapoznpodarou"/>
          <w:rFonts w:cstheme="minorHAnsi"/>
          <w:sz w:val="24"/>
          <w:szCs w:val="24"/>
        </w:rPr>
        <w:footnoteReference w:id="9"/>
      </w:r>
      <w:r w:rsidR="00B50195" w:rsidRPr="00DE0CEE">
        <w:rPr>
          <w:rFonts w:cstheme="minorHAnsi"/>
          <w:sz w:val="24"/>
          <w:szCs w:val="24"/>
        </w:rPr>
        <w:t xml:space="preserve"> </w:t>
      </w:r>
      <w:r w:rsidRPr="00DE0CEE">
        <w:rPr>
          <w:rFonts w:cstheme="minorHAnsi"/>
          <w:sz w:val="24"/>
          <w:szCs w:val="24"/>
        </w:rPr>
        <w:t xml:space="preserve">a nevytvořilo podmínky pro účinnou spolupráci s obcemi s rozšířenou působností (dále též „ORP“), které mají řešit zjištěná překročení hmotnostních limitů </w:t>
      </w:r>
      <w:r w:rsidR="002340C0" w:rsidRPr="00DE0CEE">
        <w:rPr>
          <w:rFonts w:cstheme="minorHAnsi"/>
          <w:sz w:val="24"/>
          <w:szCs w:val="24"/>
        </w:rPr>
        <w:t>(</w:t>
      </w:r>
      <w:r w:rsidR="00DA6F00" w:rsidRPr="00DE0CEE">
        <w:rPr>
          <w:rFonts w:cstheme="minorHAnsi"/>
          <w:sz w:val="24"/>
          <w:szCs w:val="24"/>
        </w:rPr>
        <w:t>dále t</w:t>
      </w:r>
      <w:r w:rsidR="00A33C87" w:rsidRPr="00DE0CEE">
        <w:rPr>
          <w:rFonts w:cstheme="minorHAnsi"/>
          <w:sz w:val="24"/>
          <w:szCs w:val="24"/>
        </w:rPr>
        <w:t>é</w:t>
      </w:r>
      <w:r w:rsidR="00DA6F00" w:rsidRPr="00DE0CEE">
        <w:rPr>
          <w:rFonts w:cstheme="minorHAnsi"/>
          <w:sz w:val="24"/>
          <w:szCs w:val="24"/>
        </w:rPr>
        <w:t>ž „</w:t>
      </w:r>
      <w:r w:rsidR="002340C0" w:rsidRPr="00DE0CEE">
        <w:rPr>
          <w:rFonts w:cstheme="minorHAnsi"/>
          <w:sz w:val="24"/>
          <w:szCs w:val="24"/>
        </w:rPr>
        <w:t>vážní delikty</w:t>
      </w:r>
      <w:r w:rsidR="00DA6F00" w:rsidRPr="00DE0CEE">
        <w:rPr>
          <w:rFonts w:cstheme="minorHAnsi"/>
          <w:sz w:val="24"/>
          <w:szCs w:val="24"/>
        </w:rPr>
        <w:t>“</w:t>
      </w:r>
      <w:r w:rsidR="002340C0" w:rsidRPr="00DE0CEE">
        <w:rPr>
          <w:rFonts w:cstheme="minorHAnsi"/>
          <w:sz w:val="24"/>
          <w:szCs w:val="24"/>
        </w:rPr>
        <w:t>)</w:t>
      </w:r>
      <w:r w:rsidR="006847E1" w:rsidRPr="00DE0CEE">
        <w:rPr>
          <w:rFonts w:cstheme="minorHAnsi"/>
          <w:sz w:val="24"/>
          <w:szCs w:val="24"/>
        </w:rPr>
        <w:t xml:space="preserve"> (viz odst</w:t>
      </w:r>
      <w:r w:rsidR="00AB0823" w:rsidRPr="00DE0CEE">
        <w:rPr>
          <w:rFonts w:cstheme="minorHAnsi"/>
          <w:sz w:val="24"/>
          <w:szCs w:val="24"/>
        </w:rPr>
        <w:t>.</w:t>
      </w:r>
      <w:r w:rsidR="006847E1" w:rsidRPr="00DE0CEE">
        <w:rPr>
          <w:rFonts w:cstheme="minorHAnsi"/>
          <w:sz w:val="24"/>
          <w:szCs w:val="24"/>
        </w:rPr>
        <w:t xml:space="preserve"> 4.1</w:t>
      </w:r>
      <w:r w:rsidR="00DE0CEE" w:rsidRPr="00DE0CEE">
        <w:rPr>
          <w:rFonts w:cstheme="minorHAnsi"/>
          <w:sz w:val="24"/>
          <w:szCs w:val="24"/>
        </w:rPr>
        <w:t>2</w:t>
      </w:r>
      <w:r w:rsidR="00FA3F22">
        <w:rPr>
          <w:rFonts w:cstheme="minorHAnsi"/>
          <w:sz w:val="24"/>
          <w:szCs w:val="24"/>
        </w:rPr>
        <w:t>–</w:t>
      </w:r>
      <w:r w:rsidR="006847E1" w:rsidRPr="00DE0CEE">
        <w:rPr>
          <w:rFonts w:cstheme="minorHAnsi"/>
          <w:sz w:val="24"/>
          <w:szCs w:val="24"/>
        </w:rPr>
        <w:t>4.1</w:t>
      </w:r>
      <w:r w:rsidR="00DE0CEE" w:rsidRPr="00DE0CEE">
        <w:rPr>
          <w:rFonts w:cstheme="minorHAnsi"/>
          <w:sz w:val="24"/>
          <w:szCs w:val="24"/>
        </w:rPr>
        <w:t>9</w:t>
      </w:r>
      <w:r w:rsidR="006847E1" w:rsidRPr="00DE0CEE">
        <w:rPr>
          <w:rFonts w:cstheme="minorHAnsi"/>
          <w:sz w:val="24"/>
          <w:szCs w:val="24"/>
        </w:rPr>
        <w:t>)</w:t>
      </w:r>
      <w:r w:rsidRPr="00DE0CEE">
        <w:rPr>
          <w:rFonts w:cstheme="minorHAnsi"/>
          <w:sz w:val="24"/>
          <w:szCs w:val="24"/>
        </w:rPr>
        <w:t xml:space="preserve">. </w:t>
      </w:r>
    </w:p>
    <w:p w14:paraId="4EB9A906" w14:textId="77777777" w:rsidR="008C5D26" w:rsidRPr="00DE0CEE" w:rsidRDefault="008C5D26" w:rsidP="008C5D26">
      <w:pPr>
        <w:pStyle w:val="Odstavecseseznamem"/>
        <w:rPr>
          <w:rFonts w:cstheme="minorHAnsi"/>
          <w:sz w:val="24"/>
          <w:szCs w:val="24"/>
        </w:rPr>
      </w:pPr>
    </w:p>
    <w:p w14:paraId="4396308F" w14:textId="4B47397B" w:rsidR="004F6908" w:rsidRPr="00DE0CEE" w:rsidRDefault="00474304" w:rsidP="00474304">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t xml:space="preserve">Váhy pro VKV často nebyly v provozu. </w:t>
      </w:r>
      <w:r w:rsidR="004E39B0" w:rsidRPr="00DE0CEE">
        <w:rPr>
          <w:rFonts w:cstheme="minorHAnsi"/>
          <w:sz w:val="24"/>
          <w:szCs w:val="24"/>
        </w:rPr>
        <w:t>Z</w:t>
      </w:r>
      <w:r w:rsidR="001E6071" w:rsidRPr="00DE0CEE">
        <w:rPr>
          <w:rFonts w:cstheme="minorHAnsi"/>
          <w:sz w:val="24"/>
          <w:szCs w:val="24"/>
        </w:rPr>
        <w:t xml:space="preserve">e sedmi </w:t>
      </w:r>
      <w:r w:rsidRPr="00DE0CEE">
        <w:rPr>
          <w:rFonts w:cstheme="minorHAnsi"/>
          <w:sz w:val="24"/>
          <w:szCs w:val="24"/>
        </w:rPr>
        <w:t>vah</w:t>
      </w:r>
      <w:r w:rsidR="004E39B0" w:rsidRPr="00DE0CEE">
        <w:rPr>
          <w:rFonts w:cstheme="minorHAnsi"/>
          <w:sz w:val="24"/>
          <w:szCs w:val="24"/>
        </w:rPr>
        <w:t xml:space="preserve">, které ŘSD </w:t>
      </w:r>
      <w:r w:rsidR="005970CA" w:rsidRPr="00DE0CEE">
        <w:rPr>
          <w:rFonts w:cstheme="minorHAnsi"/>
          <w:sz w:val="24"/>
          <w:szCs w:val="24"/>
        </w:rPr>
        <w:t>zprovozni</w:t>
      </w:r>
      <w:r w:rsidR="004E39B0" w:rsidRPr="00DE0CEE">
        <w:rPr>
          <w:rFonts w:cstheme="minorHAnsi"/>
          <w:sz w:val="24"/>
          <w:szCs w:val="24"/>
        </w:rPr>
        <w:t xml:space="preserve">lo od roku 2020, </w:t>
      </w:r>
      <w:r w:rsidR="003E335F" w:rsidRPr="00DE0CEE">
        <w:rPr>
          <w:rFonts w:cstheme="minorHAnsi"/>
          <w:sz w:val="24"/>
          <w:szCs w:val="24"/>
        </w:rPr>
        <w:t>čtyři nebyly způsobilé provádět kontrolní vážení po většinu doby, kdy byl</w:t>
      </w:r>
      <w:r w:rsidR="0012697E" w:rsidRPr="00DE0CEE">
        <w:rPr>
          <w:rFonts w:cstheme="minorHAnsi"/>
          <w:sz w:val="24"/>
          <w:szCs w:val="24"/>
        </w:rPr>
        <w:t>y</w:t>
      </w:r>
      <w:r w:rsidR="003E335F" w:rsidRPr="00DE0CEE">
        <w:rPr>
          <w:rFonts w:cstheme="minorHAnsi"/>
          <w:sz w:val="24"/>
          <w:szCs w:val="24"/>
        </w:rPr>
        <w:t xml:space="preserve"> v užívání. Důvodem byly jednak technické problémy</w:t>
      </w:r>
      <w:r w:rsidR="0012697E" w:rsidRPr="00DE0CEE">
        <w:rPr>
          <w:rFonts w:cstheme="minorHAnsi"/>
          <w:sz w:val="24"/>
          <w:szCs w:val="24"/>
        </w:rPr>
        <w:t>, ale</w:t>
      </w:r>
      <w:r w:rsidR="003E335F" w:rsidRPr="00DE0CEE">
        <w:rPr>
          <w:rFonts w:cstheme="minorHAnsi"/>
          <w:sz w:val="24"/>
          <w:szCs w:val="24"/>
        </w:rPr>
        <w:t xml:space="preserve"> především </w:t>
      </w:r>
      <w:r w:rsidR="00AB4E01" w:rsidRPr="00DE0CEE">
        <w:rPr>
          <w:rFonts w:cstheme="minorHAnsi"/>
          <w:sz w:val="24"/>
          <w:szCs w:val="24"/>
        </w:rPr>
        <w:t>skutečnost</w:t>
      </w:r>
      <w:r w:rsidR="003E335F" w:rsidRPr="00DE0CEE">
        <w:rPr>
          <w:rFonts w:cstheme="minorHAnsi"/>
          <w:sz w:val="24"/>
          <w:szCs w:val="24"/>
        </w:rPr>
        <w:t xml:space="preserve">, že váhy nebyly </w:t>
      </w:r>
      <w:r w:rsidR="00E706F3" w:rsidRPr="00DE0CEE">
        <w:rPr>
          <w:rFonts w:cstheme="minorHAnsi"/>
          <w:sz w:val="24"/>
          <w:szCs w:val="24"/>
        </w:rPr>
        <w:t xml:space="preserve">úředně </w:t>
      </w:r>
      <w:r w:rsidR="003E335F" w:rsidRPr="00DE0CEE">
        <w:rPr>
          <w:rFonts w:cstheme="minorHAnsi"/>
          <w:sz w:val="24"/>
          <w:szCs w:val="24"/>
        </w:rPr>
        <w:t xml:space="preserve">ověřeny pro provádění VKV. Z celkového počtu 495 707 </w:t>
      </w:r>
      <w:r w:rsidR="0012697E" w:rsidRPr="00DE0CEE">
        <w:rPr>
          <w:rFonts w:cstheme="minorHAnsi"/>
          <w:sz w:val="24"/>
          <w:szCs w:val="24"/>
        </w:rPr>
        <w:t xml:space="preserve">vážních </w:t>
      </w:r>
      <w:r w:rsidR="003E335F" w:rsidRPr="00DE0CEE">
        <w:rPr>
          <w:rFonts w:cstheme="minorHAnsi"/>
          <w:sz w:val="24"/>
          <w:szCs w:val="24"/>
        </w:rPr>
        <w:t xml:space="preserve">deliktů </w:t>
      </w:r>
      <w:r w:rsidR="0012697E" w:rsidRPr="00DE0CEE">
        <w:rPr>
          <w:rFonts w:cstheme="minorHAnsi"/>
          <w:sz w:val="24"/>
          <w:szCs w:val="24"/>
        </w:rPr>
        <w:t xml:space="preserve">zjištěných provozuschopnými váhami </w:t>
      </w:r>
      <w:r w:rsidR="00D73123">
        <w:rPr>
          <w:rFonts w:cstheme="minorHAnsi"/>
          <w:sz w:val="24"/>
          <w:szCs w:val="24"/>
        </w:rPr>
        <w:t xml:space="preserve">v době od ledna 2020 do října 2024 </w:t>
      </w:r>
      <w:r w:rsidR="00FC0F2B" w:rsidRPr="00DE0CEE">
        <w:rPr>
          <w:rFonts w:cstheme="minorHAnsi"/>
          <w:sz w:val="24"/>
          <w:szCs w:val="24"/>
        </w:rPr>
        <w:t xml:space="preserve">předalo </w:t>
      </w:r>
      <w:r w:rsidR="003E335F" w:rsidRPr="00DE0CEE">
        <w:rPr>
          <w:rFonts w:cstheme="minorHAnsi"/>
          <w:sz w:val="24"/>
          <w:szCs w:val="24"/>
        </w:rPr>
        <w:t>ŘSD k řešení příslušným ORP pouze 289</w:t>
      </w:r>
      <w:r w:rsidR="00552426" w:rsidRPr="00DE0CEE">
        <w:rPr>
          <w:rFonts w:cstheme="minorHAnsi"/>
          <w:sz w:val="24"/>
          <w:szCs w:val="24"/>
        </w:rPr>
        <w:t> </w:t>
      </w:r>
      <w:r w:rsidR="003E335F" w:rsidRPr="00DE0CEE">
        <w:rPr>
          <w:rFonts w:cstheme="minorHAnsi"/>
          <w:sz w:val="24"/>
          <w:szCs w:val="24"/>
        </w:rPr>
        <w:t>311</w:t>
      </w:r>
      <w:r w:rsidR="00552426" w:rsidRPr="00DE0CEE">
        <w:rPr>
          <w:rFonts w:cstheme="minorHAnsi"/>
          <w:sz w:val="24"/>
          <w:szCs w:val="24"/>
        </w:rPr>
        <w:t xml:space="preserve"> případů</w:t>
      </w:r>
      <w:r w:rsidR="003E335F" w:rsidRPr="00DE0CEE">
        <w:rPr>
          <w:rFonts w:cstheme="minorHAnsi"/>
          <w:sz w:val="24"/>
          <w:szCs w:val="24"/>
        </w:rPr>
        <w:t>, tedy 58 %</w:t>
      </w:r>
      <w:r w:rsidR="00AB682B">
        <w:rPr>
          <w:rFonts w:cstheme="minorHAnsi"/>
          <w:sz w:val="24"/>
          <w:szCs w:val="24"/>
        </w:rPr>
        <w:t xml:space="preserve">. Počet vážních deliktů, které </w:t>
      </w:r>
      <w:r w:rsidR="004728E9">
        <w:rPr>
          <w:rFonts w:cstheme="minorHAnsi"/>
          <w:sz w:val="24"/>
          <w:szCs w:val="24"/>
        </w:rPr>
        <w:t>skončily</w:t>
      </w:r>
      <w:r w:rsidR="00AB682B">
        <w:rPr>
          <w:rFonts w:cstheme="minorHAnsi"/>
          <w:sz w:val="24"/>
          <w:szCs w:val="24"/>
        </w:rPr>
        <w:t xml:space="preserve"> uložení</w:t>
      </w:r>
      <w:r w:rsidR="004728E9">
        <w:rPr>
          <w:rFonts w:cstheme="minorHAnsi"/>
          <w:sz w:val="24"/>
          <w:szCs w:val="24"/>
        </w:rPr>
        <w:t>m</w:t>
      </w:r>
      <w:r w:rsidR="00AB682B">
        <w:rPr>
          <w:rFonts w:cstheme="minorHAnsi"/>
          <w:sz w:val="24"/>
          <w:szCs w:val="24"/>
        </w:rPr>
        <w:t xml:space="preserve"> sankce přestupci</w:t>
      </w:r>
      <w:r w:rsidR="004728E9">
        <w:rPr>
          <w:rFonts w:cstheme="minorHAnsi"/>
          <w:sz w:val="24"/>
          <w:szCs w:val="24"/>
        </w:rPr>
        <w:t xml:space="preserve">, </w:t>
      </w:r>
      <w:r w:rsidR="00AB682B">
        <w:rPr>
          <w:rFonts w:cstheme="minorHAnsi"/>
          <w:sz w:val="24"/>
          <w:szCs w:val="24"/>
        </w:rPr>
        <w:t>byl však především z důvodu nezajištění účinné spolupráce s</w:t>
      </w:r>
      <w:r w:rsidR="005F2031">
        <w:rPr>
          <w:rFonts w:cstheme="minorHAnsi"/>
          <w:sz w:val="24"/>
          <w:szCs w:val="24"/>
        </w:rPr>
        <w:t> </w:t>
      </w:r>
      <w:r w:rsidR="00AB682B">
        <w:rPr>
          <w:rFonts w:cstheme="minorHAnsi"/>
          <w:sz w:val="24"/>
          <w:szCs w:val="24"/>
        </w:rPr>
        <w:t xml:space="preserve">ORP jen malým zlomkem tohoto počtu předaných případů. NKÚ </w:t>
      </w:r>
      <w:r w:rsidR="00772981">
        <w:rPr>
          <w:rFonts w:cstheme="minorHAnsi"/>
          <w:sz w:val="24"/>
          <w:szCs w:val="24"/>
        </w:rPr>
        <w:t>zjisti</w:t>
      </w:r>
      <w:r w:rsidR="00AB682B">
        <w:rPr>
          <w:rFonts w:cstheme="minorHAnsi"/>
          <w:sz w:val="24"/>
          <w:szCs w:val="24"/>
        </w:rPr>
        <w:t>l, že se jednalo nejvýše o jednotky procent</w:t>
      </w:r>
      <w:r w:rsidR="006847E1" w:rsidRPr="00DE0CEE">
        <w:rPr>
          <w:rFonts w:cstheme="minorHAnsi"/>
          <w:sz w:val="24"/>
          <w:szCs w:val="24"/>
        </w:rPr>
        <w:t xml:space="preserve"> (viz odst</w:t>
      </w:r>
      <w:r w:rsidR="00AB0823" w:rsidRPr="00DE0CEE">
        <w:rPr>
          <w:rFonts w:cstheme="minorHAnsi"/>
          <w:sz w:val="24"/>
          <w:szCs w:val="24"/>
        </w:rPr>
        <w:t>.</w:t>
      </w:r>
      <w:r w:rsidRPr="00DE0CEE">
        <w:rPr>
          <w:rFonts w:cstheme="minorHAnsi"/>
          <w:sz w:val="24"/>
          <w:szCs w:val="24"/>
        </w:rPr>
        <w:t xml:space="preserve"> 4.</w:t>
      </w:r>
      <w:r w:rsidR="00DE0CEE" w:rsidRPr="00DE0CEE">
        <w:rPr>
          <w:rFonts w:cstheme="minorHAnsi"/>
          <w:sz w:val="24"/>
          <w:szCs w:val="24"/>
        </w:rPr>
        <w:t>20</w:t>
      </w:r>
      <w:r w:rsidR="00FA3F22">
        <w:rPr>
          <w:rFonts w:cstheme="minorHAnsi"/>
          <w:sz w:val="24"/>
          <w:szCs w:val="24"/>
        </w:rPr>
        <w:t>–</w:t>
      </w:r>
      <w:r w:rsidR="00DE3BFB" w:rsidRPr="00DE0CEE">
        <w:rPr>
          <w:rFonts w:cstheme="minorHAnsi"/>
          <w:sz w:val="24"/>
          <w:szCs w:val="24"/>
        </w:rPr>
        <w:t>4.2</w:t>
      </w:r>
      <w:r w:rsidR="00495A22">
        <w:rPr>
          <w:rFonts w:cstheme="minorHAnsi"/>
          <w:sz w:val="24"/>
          <w:szCs w:val="24"/>
        </w:rPr>
        <w:t>5</w:t>
      </w:r>
      <w:r w:rsidR="006847E1" w:rsidRPr="00DE0CEE">
        <w:rPr>
          <w:rFonts w:cstheme="minorHAnsi"/>
          <w:sz w:val="24"/>
          <w:szCs w:val="24"/>
        </w:rPr>
        <w:t>)</w:t>
      </w:r>
      <w:r w:rsidR="001C1900" w:rsidRPr="00DE0CEE">
        <w:rPr>
          <w:rFonts w:cstheme="minorHAnsi"/>
          <w:sz w:val="24"/>
          <w:szCs w:val="24"/>
        </w:rPr>
        <w:t>.</w:t>
      </w:r>
    </w:p>
    <w:p w14:paraId="65577DA3" w14:textId="77777777" w:rsidR="002A13F1" w:rsidRPr="00DE0CEE" w:rsidRDefault="002A13F1" w:rsidP="004F6908">
      <w:pPr>
        <w:pStyle w:val="Odstavecseseznamem"/>
        <w:rPr>
          <w:rFonts w:cstheme="minorHAnsi"/>
          <w:sz w:val="24"/>
          <w:szCs w:val="24"/>
        </w:rPr>
      </w:pPr>
    </w:p>
    <w:p w14:paraId="4E2301F6" w14:textId="213D2600" w:rsidR="008F2390" w:rsidRPr="00DE0CEE" w:rsidRDefault="008F2390" w:rsidP="008F2390">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lastRenderedPageBreak/>
        <w:t>ŘSD od roku 2024</w:t>
      </w:r>
      <w:r w:rsidR="00DD169F">
        <w:rPr>
          <w:rFonts w:cstheme="minorHAnsi"/>
          <w:sz w:val="24"/>
          <w:szCs w:val="24"/>
        </w:rPr>
        <w:t xml:space="preserve"> předává</w:t>
      </w:r>
      <w:r w:rsidRPr="00DE0CEE">
        <w:rPr>
          <w:rFonts w:cstheme="minorHAnsi"/>
          <w:sz w:val="24"/>
          <w:szCs w:val="24"/>
        </w:rPr>
        <w:t xml:space="preserve"> třem ORP k řešení vážní delikty jen do limitu 250 případů měsíčně. Takovéto omezení počtu </w:t>
      </w:r>
      <w:r w:rsidR="00BF4B8B" w:rsidRPr="00DE0CEE">
        <w:rPr>
          <w:rFonts w:cstheme="minorHAnsi"/>
          <w:sz w:val="24"/>
          <w:szCs w:val="24"/>
        </w:rPr>
        <w:t>postihovaných</w:t>
      </w:r>
      <w:r w:rsidRPr="00DE0CEE">
        <w:rPr>
          <w:rFonts w:cstheme="minorHAnsi"/>
          <w:sz w:val="24"/>
          <w:szCs w:val="24"/>
        </w:rPr>
        <w:t xml:space="preserve"> vážních deliktů není v souladu </w:t>
      </w:r>
      <w:r w:rsidR="005F2031">
        <w:rPr>
          <w:rFonts w:cstheme="minorHAnsi"/>
          <w:sz w:val="24"/>
          <w:szCs w:val="24"/>
        </w:rPr>
        <w:t>s</w:t>
      </w:r>
      <w:r w:rsidRPr="00DE0CEE">
        <w:rPr>
          <w:rFonts w:cstheme="minorHAnsi"/>
          <w:sz w:val="24"/>
          <w:szCs w:val="24"/>
        </w:rPr>
        <w:t> právním předpisem</w:t>
      </w:r>
      <w:r w:rsidR="005E4AD6">
        <w:rPr>
          <w:rStyle w:val="Znakapoznpodarou"/>
          <w:rFonts w:cstheme="minorHAnsi"/>
          <w:sz w:val="24"/>
          <w:szCs w:val="24"/>
        </w:rPr>
        <w:footnoteReference w:id="10"/>
      </w:r>
      <w:r w:rsidRPr="00DE0CEE">
        <w:rPr>
          <w:rFonts w:cstheme="minorHAnsi"/>
          <w:sz w:val="24"/>
          <w:szCs w:val="24"/>
        </w:rPr>
        <w:t xml:space="preserve"> a snižuje účelnost i efektivnost prostředků vynaložených na pořízení a provoz příslušných vah pro VKV. Úpravy podmínek VKV, které MD provedlo změnou prováděcího předpisu</w:t>
      </w:r>
      <w:r w:rsidRPr="00DE0CEE">
        <w:rPr>
          <w:rStyle w:val="Znakapoznpodarou"/>
          <w:rFonts w:cstheme="minorHAnsi"/>
          <w:sz w:val="24"/>
          <w:szCs w:val="24"/>
        </w:rPr>
        <w:footnoteReference w:id="11"/>
      </w:r>
      <w:r w:rsidRPr="00DE0CEE">
        <w:rPr>
          <w:rFonts w:cstheme="minorHAnsi"/>
          <w:sz w:val="24"/>
          <w:szCs w:val="24"/>
        </w:rPr>
        <w:t xml:space="preserve">, vedly </w:t>
      </w:r>
      <w:r w:rsidR="00C4674F">
        <w:rPr>
          <w:rFonts w:cstheme="minorHAnsi"/>
          <w:sz w:val="24"/>
          <w:szCs w:val="24"/>
        </w:rPr>
        <w:t xml:space="preserve">i </w:t>
      </w:r>
      <w:r w:rsidRPr="00DE0CEE">
        <w:rPr>
          <w:rFonts w:cstheme="minorHAnsi"/>
          <w:sz w:val="24"/>
          <w:szCs w:val="24"/>
        </w:rPr>
        <w:t>k</w:t>
      </w:r>
      <w:r w:rsidR="00BF4B8B" w:rsidRPr="00DE0CEE">
        <w:rPr>
          <w:rFonts w:cstheme="minorHAnsi"/>
          <w:sz w:val="24"/>
          <w:szCs w:val="24"/>
        </w:rPr>
        <w:t xml:space="preserve"> dalšímu </w:t>
      </w:r>
      <w:r w:rsidRPr="00DE0CEE">
        <w:rPr>
          <w:rFonts w:cstheme="minorHAnsi"/>
          <w:sz w:val="24"/>
          <w:szCs w:val="24"/>
        </w:rPr>
        <w:t xml:space="preserve">omezení počtu zjišťovaných vážních deliktů, nikoliv k omezení jízd přetížených vozidel nebo jejich destrukčního vlivu na vozovku. </w:t>
      </w:r>
      <w:r w:rsidR="00AB682B">
        <w:rPr>
          <w:rFonts w:cstheme="minorHAnsi"/>
          <w:sz w:val="24"/>
          <w:szCs w:val="24"/>
        </w:rPr>
        <w:t>V</w:t>
      </w:r>
      <w:r w:rsidR="005F2031">
        <w:rPr>
          <w:rFonts w:cstheme="minorHAnsi"/>
          <w:sz w:val="24"/>
          <w:szCs w:val="24"/>
        </w:rPr>
        <w:t xml:space="preserve"> </w:t>
      </w:r>
      <w:r w:rsidR="00AB682B">
        <w:rPr>
          <w:rFonts w:cstheme="minorHAnsi"/>
          <w:sz w:val="24"/>
          <w:szCs w:val="24"/>
        </w:rPr>
        <w:t xml:space="preserve">rámci těchto změn </w:t>
      </w:r>
      <w:r w:rsidR="00AB682B" w:rsidRPr="00626944">
        <w:rPr>
          <w:rFonts w:cstheme="minorHAnsi"/>
          <w:sz w:val="24"/>
          <w:szCs w:val="24"/>
        </w:rPr>
        <w:t xml:space="preserve">zrušilo </w:t>
      </w:r>
      <w:r w:rsidR="005F2031">
        <w:rPr>
          <w:rFonts w:cstheme="minorHAnsi"/>
          <w:sz w:val="24"/>
          <w:szCs w:val="24"/>
        </w:rPr>
        <w:t xml:space="preserve">MD </w:t>
      </w:r>
      <w:r w:rsidR="00AB682B">
        <w:rPr>
          <w:rFonts w:cstheme="minorHAnsi"/>
          <w:sz w:val="24"/>
          <w:szCs w:val="24"/>
        </w:rPr>
        <w:t>postih při přetížení náprav vozidla a umožnilo při VKV postihovat pouze překročení celkové hmotnosti vozidla nebo jízdní soupravy, ačkoliv práv</w:t>
      </w:r>
      <w:r w:rsidR="004728E9">
        <w:rPr>
          <w:rFonts w:cstheme="minorHAnsi"/>
          <w:sz w:val="24"/>
          <w:szCs w:val="24"/>
        </w:rPr>
        <w:t>ě</w:t>
      </w:r>
      <w:r w:rsidR="00AB682B">
        <w:rPr>
          <w:rFonts w:cstheme="minorHAnsi"/>
          <w:sz w:val="24"/>
          <w:szCs w:val="24"/>
        </w:rPr>
        <w:t xml:space="preserve"> jízda vozidla s přetíženou nápravou má vyšší destrukční vliv na vozovku, než má jízda celého přetížen</w:t>
      </w:r>
      <w:r w:rsidR="004728E9">
        <w:rPr>
          <w:rFonts w:cstheme="minorHAnsi"/>
          <w:sz w:val="24"/>
          <w:szCs w:val="24"/>
        </w:rPr>
        <w:t>é</w:t>
      </w:r>
      <w:r w:rsidR="00AB682B">
        <w:rPr>
          <w:rFonts w:cstheme="minorHAnsi"/>
          <w:sz w:val="24"/>
          <w:szCs w:val="24"/>
        </w:rPr>
        <w:t>ho vozidla</w:t>
      </w:r>
      <w:r w:rsidR="00C36EA4">
        <w:rPr>
          <w:rFonts w:cstheme="minorHAnsi"/>
          <w:sz w:val="24"/>
          <w:szCs w:val="24"/>
        </w:rPr>
        <w:t>.</w:t>
      </w:r>
      <w:r w:rsidR="00AB682B">
        <w:rPr>
          <w:rFonts w:cstheme="minorHAnsi"/>
          <w:sz w:val="24"/>
          <w:szCs w:val="24"/>
        </w:rPr>
        <w:t xml:space="preserve"> </w:t>
      </w:r>
      <w:r w:rsidRPr="00DE0CEE">
        <w:rPr>
          <w:rFonts w:cstheme="minorHAnsi"/>
          <w:sz w:val="24"/>
          <w:szCs w:val="24"/>
        </w:rPr>
        <w:t>Dopad</w:t>
      </w:r>
      <w:r w:rsidR="004728E9">
        <w:rPr>
          <w:rFonts w:cstheme="minorHAnsi"/>
          <w:sz w:val="24"/>
          <w:szCs w:val="24"/>
        </w:rPr>
        <w:t>em tohoto opatření je významné snížení počtu deliktů zjištěný</w:t>
      </w:r>
      <w:r w:rsidR="00414FE2">
        <w:rPr>
          <w:rFonts w:cstheme="minorHAnsi"/>
          <w:sz w:val="24"/>
          <w:szCs w:val="24"/>
        </w:rPr>
        <w:t>ch</w:t>
      </w:r>
      <w:r w:rsidR="004728E9">
        <w:rPr>
          <w:rFonts w:cstheme="minorHAnsi"/>
          <w:sz w:val="24"/>
          <w:szCs w:val="24"/>
        </w:rPr>
        <w:t xml:space="preserve"> kontrolními váhami (někde až o 98 %), </w:t>
      </w:r>
      <w:r w:rsidR="004728E9" w:rsidRPr="00052107">
        <w:rPr>
          <w:rFonts w:eastAsia="Calibri" w:cstheme="minorHAnsi"/>
          <w:sz w:val="24"/>
          <w:szCs w:val="24"/>
        </w:rPr>
        <w:t>aniž b</w:t>
      </w:r>
      <w:r w:rsidR="00414FE2">
        <w:rPr>
          <w:rFonts w:eastAsia="Calibri" w:cstheme="minorHAnsi"/>
          <w:sz w:val="24"/>
          <w:szCs w:val="24"/>
        </w:rPr>
        <w:t>y b</w:t>
      </w:r>
      <w:r w:rsidR="004728E9" w:rsidRPr="00052107">
        <w:rPr>
          <w:rFonts w:eastAsia="Calibri" w:cstheme="minorHAnsi"/>
          <w:sz w:val="24"/>
          <w:szCs w:val="24"/>
        </w:rPr>
        <w:t>yl</w:t>
      </w:r>
      <w:r w:rsidR="004728E9">
        <w:rPr>
          <w:rFonts w:eastAsia="Calibri" w:cstheme="minorHAnsi"/>
          <w:sz w:val="24"/>
          <w:szCs w:val="24"/>
        </w:rPr>
        <w:t xml:space="preserve"> ale</w:t>
      </w:r>
      <w:r w:rsidR="004728E9" w:rsidRPr="00052107">
        <w:rPr>
          <w:rFonts w:eastAsia="Calibri" w:cstheme="minorHAnsi"/>
          <w:sz w:val="24"/>
          <w:szCs w:val="24"/>
        </w:rPr>
        <w:t xml:space="preserve"> snížen destrukční vliv jízd vozidel s přetíženými nápravami na dopravní infrastrukturu. </w:t>
      </w:r>
      <w:r w:rsidR="00EA6F74" w:rsidRPr="00EA6F74">
        <w:rPr>
          <w:rFonts w:eastAsia="Calibri" w:cstheme="minorHAnsi"/>
          <w:sz w:val="24"/>
          <w:szCs w:val="24"/>
        </w:rPr>
        <w:t>MD provedenými změnami problém nevyřešilo</w:t>
      </w:r>
      <w:r w:rsidR="00EA6F74" w:rsidDel="00EA6F74">
        <w:rPr>
          <w:rFonts w:eastAsia="Calibri" w:cstheme="minorHAnsi"/>
          <w:sz w:val="24"/>
          <w:szCs w:val="24"/>
        </w:rPr>
        <w:t xml:space="preserve"> </w:t>
      </w:r>
      <w:r w:rsidRPr="00DE0CEE">
        <w:rPr>
          <w:rFonts w:cstheme="minorHAnsi"/>
          <w:sz w:val="24"/>
          <w:szCs w:val="24"/>
        </w:rPr>
        <w:t>(viz</w:t>
      </w:r>
      <w:r w:rsidR="005F2031">
        <w:rPr>
          <w:rFonts w:cstheme="minorHAnsi"/>
          <w:sz w:val="24"/>
          <w:szCs w:val="24"/>
        </w:rPr>
        <w:t> </w:t>
      </w:r>
      <w:r w:rsidRPr="00DE0CEE">
        <w:rPr>
          <w:rFonts w:cstheme="minorHAnsi"/>
          <w:sz w:val="24"/>
          <w:szCs w:val="24"/>
        </w:rPr>
        <w:t>odst</w:t>
      </w:r>
      <w:r w:rsidR="00AB0823" w:rsidRPr="00DE0CEE">
        <w:rPr>
          <w:rFonts w:cstheme="minorHAnsi"/>
          <w:sz w:val="24"/>
          <w:szCs w:val="24"/>
        </w:rPr>
        <w:t>.</w:t>
      </w:r>
      <w:r w:rsidRPr="00DE0CEE">
        <w:rPr>
          <w:rFonts w:cstheme="minorHAnsi"/>
          <w:sz w:val="24"/>
          <w:szCs w:val="24"/>
        </w:rPr>
        <w:t xml:space="preserve"> 4.2</w:t>
      </w:r>
      <w:r w:rsidR="00DE0CEE" w:rsidRPr="00DE0CEE">
        <w:rPr>
          <w:rFonts w:cstheme="minorHAnsi"/>
          <w:sz w:val="24"/>
          <w:szCs w:val="24"/>
        </w:rPr>
        <w:t>6</w:t>
      </w:r>
      <w:r w:rsidR="00FA3F22">
        <w:rPr>
          <w:rFonts w:cstheme="minorHAnsi"/>
          <w:sz w:val="24"/>
          <w:szCs w:val="24"/>
        </w:rPr>
        <w:t>–</w:t>
      </w:r>
      <w:r w:rsidRPr="00DE0CEE">
        <w:rPr>
          <w:rFonts w:cstheme="minorHAnsi"/>
          <w:sz w:val="24"/>
          <w:szCs w:val="24"/>
        </w:rPr>
        <w:t>4.</w:t>
      </w:r>
      <w:r w:rsidR="00981BED" w:rsidRPr="00DE0CEE">
        <w:rPr>
          <w:rFonts w:cstheme="minorHAnsi"/>
          <w:sz w:val="24"/>
          <w:szCs w:val="24"/>
        </w:rPr>
        <w:t>3</w:t>
      </w:r>
      <w:r w:rsidR="00981BED">
        <w:rPr>
          <w:rFonts w:cstheme="minorHAnsi"/>
          <w:sz w:val="24"/>
          <w:szCs w:val="24"/>
        </w:rPr>
        <w:t>8</w:t>
      </w:r>
      <w:r w:rsidRPr="00DE0CEE">
        <w:rPr>
          <w:rFonts w:cstheme="minorHAnsi"/>
          <w:sz w:val="24"/>
          <w:szCs w:val="24"/>
        </w:rPr>
        <w:t xml:space="preserve">). </w:t>
      </w:r>
    </w:p>
    <w:p w14:paraId="300F1C00" w14:textId="77777777" w:rsidR="008F2390" w:rsidRPr="00DE0CEE" w:rsidRDefault="008F2390" w:rsidP="008F2390">
      <w:pPr>
        <w:pStyle w:val="Odstavecseseznamem"/>
        <w:rPr>
          <w:rFonts w:cstheme="minorHAnsi"/>
          <w:sz w:val="24"/>
          <w:szCs w:val="24"/>
        </w:rPr>
      </w:pPr>
    </w:p>
    <w:p w14:paraId="4EB1F97A" w14:textId="082072CA" w:rsidR="00DA6F00" w:rsidRPr="00DE0CEE" w:rsidRDefault="00DF29EC" w:rsidP="008F2390">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t>ŘSD p</w:t>
      </w:r>
      <w:r w:rsidR="00DA6F00" w:rsidRPr="00DE0CEE">
        <w:rPr>
          <w:rFonts w:cstheme="minorHAnsi"/>
          <w:sz w:val="24"/>
          <w:szCs w:val="24"/>
        </w:rPr>
        <w:t xml:space="preserve">ři výdeji částky </w:t>
      </w:r>
      <w:r w:rsidR="00DA6F00" w:rsidRPr="00DE0CEE">
        <w:rPr>
          <w:rFonts w:eastAsia="Calibri" w:cstheme="minorHAnsi"/>
          <w:sz w:val="24"/>
          <w:szCs w:val="24"/>
        </w:rPr>
        <w:t>28</w:t>
      </w:r>
      <w:r w:rsidRPr="00DE0CEE">
        <w:rPr>
          <w:rFonts w:eastAsia="Calibri" w:cstheme="minorHAnsi"/>
          <w:sz w:val="24"/>
          <w:szCs w:val="24"/>
        </w:rPr>
        <w:t>,</w:t>
      </w:r>
      <w:r w:rsidR="00DA6F00" w:rsidRPr="00DE0CEE">
        <w:rPr>
          <w:rFonts w:eastAsia="Calibri" w:cstheme="minorHAnsi"/>
          <w:sz w:val="24"/>
          <w:szCs w:val="24"/>
        </w:rPr>
        <w:t>92</w:t>
      </w:r>
      <w:r w:rsidRPr="00DE0CEE">
        <w:rPr>
          <w:rFonts w:eastAsia="Calibri" w:cstheme="minorHAnsi"/>
          <w:sz w:val="24"/>
          <w:szCs w:val="24"/>
        </w:rPr>
        <w:t xml:space="preserve"> mil. </w:t>
      </w:r>
      <w:r w:rsidR="00DA6F00" w:rsidRPr="00DE0CEE">
        <w:rPr>
          <w:rFonts w:cstheme="minorHAnsi"/>
          <w:sz w:val="24"/>
          <w:szCs w:val="24"/>
        </w:rPr>
        <w:t>Kč</w:t>
      </w:r>
      <w:r w:rsidR="00634193" w:rsidRPr="00DE0CEE">
        <w:rPr>
          <w:rFonts w:cstheme="minorHAnsi"/>
          <w:sz w:val="24"/>
          <w:szCs w:val="24"/>
        </w:rPr>
        <w:t xml:space="preserve">, </w:t>
      </w:r>
      <w:r w:rsidR="00893C5D" w:rsidRPr="00DE0CEE">
        <w:rPr>
          <w:rFonts w:cstheme="minorHAnsi"/>
          <w:sz w:val="24"/>
          <w:szCs w:val="24"/>
        </w:rPr>
        <w:t xml:space="preserve">kterou </w:t>
      </w:r>
      <w:r w:rsidR="00634193" w:rsidRPr="00DE0CEE">
        <w:rPr>
          <w:rFonts w:cstheme="minorHAnsi"/>
          <w:sz w:val="24"/>
          <w:szCs w:val="24"/>
        </w:rPr>
        <w:t>vynalož</w:t>
      </w:r>
      <w:r w:rsidR="00893C5D" w:rsidRPr="00DE0CEE">
        <w:rPr>
          <w:rFonts w:cstheme="minorHAnsi"/>
          <w:sz w:val="24"/>
          <w:szCs w:val="24"/>
        </w:rPr>
        <w:t>ilo</w:t>
      </w:r>
      <w:r w:rsidR="00634193" w:rsidRPr="00DE0CEE">
        <w:rPr>
          <w:rFonts w:cstheme="minorHAnsi"/>
          <w:sz w:val="24"/>
          <w:szCs w:val="24"/>
        </w:rPr>
        <w:t xml:space="preserve"> zejména v souvislosti</w:t>
      </w:r>
      <w:r w:rsidRPr="00DE0CEE">
        <w:rPr>
          <w:rFonts w:cstheme="minorHAnsi"/>
          <w:sz w:val="24"/>
          <w:szCs w:val="24"/>
        </w:rPr>
        <w:t xml:space="preserve"> s pořízením a</w:t>
      </w:r>
      <w:r w:rsidR="00EA3AB4">
        <w:rPr>
          <w:rFonts w:cstheme="minorHAnsi"/>
          <w:sz w:val="24"/>
          <w:szCs w:val="24"/>
        </w:rPr>
        <w:t> </w:t>
      </w:r>
      <w:r w:rsidRPr="00DE0CEE">
        <w:rPr>
          <w:rFonts w:cstheme="minorHAnsi"/>
          <w:sz w:val="24"/>
          <w:szCs w:val="24"/>
        </w:rPr>
        <w:t>provozem tří vah pro VKV</w:t>
      </w:r>
      <w:r w:rsidR="00634193" w:rsidRPr="00DE0CEE">
        <w:rPr>
          <w:rFonts w:cstheme="minorHAnsi"/>
          <w:sz w:val="24"/>
          <w:szCs w:val="24"/>
        </w:rPr>
        <w:t xml:space="preserve">, </w:t>
      </w:r>
      <w:r w:rsidR="00DA6F00" w:rsidRPr="00DE0CEE">
        <w:rPr>
          <w:rFonts w:cstheme="minorHAnsi"/>
          <w:sz w:val="24"/>
          <w:szCs w:val="24"/>
        </w:rPr>
        <w:t>porušilo právní předpis</w:t>
      </w:r>
      <w:r w:rsidR="00DA6F00" w:rsidRPr="00DE0CEE">
        <w:rPr>
          <w:rStyle w:val="Znakapoznpodarou"/>
          <w:rFonts w:eastAsia="Calibri" w:cstheme="minorHAnsi"/>
          <w:sz w:val="24"/>
          <w:szCs w:val="24"/>
        </w:rPr>
        <w:footnoteReference w:id="12"/>
      </w:r>
      <w:r w:rsidR="00DA6F00" w:rsidRPr="00DE0CEE">
        <w:rPr>
          <w:rFonts w:cstheme="minorHAnsi"/>
          <w:sz w:val="24"/>
          <w:szCs w:val="24"/>
        </w:rPr>
        <w:t xml:space="preserve">, což NKÚ </w:t>
      </w:r>
      <w:r w:rsidR="00427F76" w:rsidRPr="00DE0CEE">
        <w:rPr>
          <w:rFonts w:cstheme="minorHAnsi"/>
          <w:sz w:val="24"/>
          <w:szCs w:val="24"/>
        </w:rPr>
        <w:t>vyhodnotil jako skutečnost nasvědčující porušení rozpočtové kázn</w:t>
      </w:r>
      <w:r w:rsidRPr="00DE0CEE">
        <w:rPr>
          <w:rFonts w:cstheme="minorHAnsi"/>
          <w:sz w:val="24"/>
          <w:szCs w:val="24"/>
        </w:rPr>
        <w:t xml:space="preserve">ě. </w:t>
      </w:r>
      <w:r w:rsidR="00634193" w:rsidRPr="00DE0CEE">
        <w:rPr>
          <w:rFonts w:cstheme="minorHAnsi"/>
          <w:sz w:val="24"/>
          <w:szCs w:val="24"/>
        </w:rPr>
        <w:t xml:space="preserve">NKÚ </w:t>
      </w:r>
      <w:r w:rsidR="00CD1D1B" w:rsidRPr="00DE0CEE">
        <w:rPr>
          <w:rFonts w:cstheme="minorHAnsi"/>
          <w:sz w:val="24"/>
          <w:szCs w:val="24"/>
        </w:rPr>
        <w:t xml:space="preserve">mj. </w:t>
      </w:r>
      <w:r w:rsidR="00634193" w:rsidRPr="00DE0CEE">
        <w:rPr>
          <w:rFonts w:cstheme="minorHAnsi"/>
          <w:sz w:val="24"/>
          <w:szCs w:val="24"/>
        </w:rPr>
        <w:t>zjistil, že ŘSD předalo k řešení ORP jen 428 z</w:t>
      </w:r>
      <w:r w:rsidR="00CD1D1B" w:rsidRPr="00DE0CEE">
        <w:rPr>
          <w:rFonts w:cstheme="minorHAnsi"/>
          <w:sz w:val="24"/>
          <w:szCs w:val="24"/>
        </w:rPr>
        <w:t xml:space="preserve"> celkových </w:t>
      </w:r>
      <w:r w:rsidR="00634193" w:rsidRPr="00DE0CEE">
        <w:rPr>
          <w:rFonts w:cstheme="minorHAnsi"/>
          <w:sz w:val="24"/>
          <w:szCs w:val="24"/>
        </w:rPr>
        <w:t>91</w:t>
      </w:r>
      <w:r w:rsidR="00CD1D1B" w:rsidRPr="00DE0CEE">
        <w:rPr>
          <w:rFonts w:cstheme="minorHAnsi"/>
          <w:sz w:val="24"/>
          <w:szCs w:val="24"/>
        </w:rPr>
        <w:t> </w:t>
      </w:r>
      <w:r w:rsidR="00634193" w:rsidRPr="00DE0CEE">
        <w:rPr>
          <w:rFonts w:cstheme="minorHAnsi"/>
          <w:sz w:val="24"/>
          <w:szCs w:val="24"/>
        </w:rPr>
        <w:t xml:space="preserve">780 </w:t>
      </w:r>
      <w:r w:rsidR="00CD1D1B" w:rsidRPr="00DE0CEE">
        <w:rPr>
          <w:rFonts w:cstheme="minorHAnsi"/>
          <w:sz w:val="24"/>
          <w:szCs w:val="24"/>
        </w:rPr>
        <w:t xml:space="preserve">(tj. cca </w:t>
      </w:r>
      <w:r w:rsidR="00653336">
        <w:rPr>
          <w:rFonts w:cstheme="minorHAnsi"/>
          <w:sz w:val="24"/>
          <w:szCs w:val="24"/>
        </w:rPr>
        <w:t>0,5</w:t>
      </w:r>
      <w:r w:rsidR="00CD1D1B" w:rsidRPr="00DE0CEE">
        <w:rPr>
          <w:rFonts w:cstheme="minorHAnsi"/>
          <w:sz w:val="24"/>
          <w:szCs w:val="24"/>
        </w:rPr>
        <w:t xml:space="preserve"> %) </w:t>
      </w:r>
      <w:r w:rsidR="00634193" w:rsidRPr="00DE0CEE">
        <w:rPr>
          <w:rFonts w:cstheme="minorHAnsi"/>
          <w:sz w:val="24"/>
          <w:szCs w:val="24"/>
        </w:rPr>
        <w:t>vážních deliktů</w:t>
      </w:r>
      <w:r w:rsidR="00CD1D1B" w:rsidRPr="00DE0CEE">
        <w:rPr>
          <w:rFonts w:cstheme="minorHAnsi"/>
          <w:sz w:val="24"/>
          <w:szCs w:val="24"/>
        </w:rPr>
        <w:t xml:space="preserve">, které dvě z těchto vah </w:t>
      </w:r>
      <w:r w:rsidR="00634193" w:rsidRPr="00DE0CEE">
        <w:rPr>
          <w:rFonts w:cstheme="minorHAnsi"/>
          <w:sz w:val="24"/>
          <w:szCs w:val="24"/>
        </w:rPr>
        <w:t>zachy</w:t>
      </w:r>
      <w:r w:rsidR="00CD1D1B" w:rsidRPr="00DE0CEE">
        <w:rPr>
          <w:rFonts w:cstheme="minorHAnsi"/>
          <w:sz w:val="24"/>
          <w:szCs w:val="24"/>
        </w:rPr>
        <w:t>tily</w:t>
      </w:r>
      <w:r w:rsidR="00634193" w:rsidRPr="00DE0CEE">
        <w:rPr>
          <w:rFonts w:cstheme="minorHAnsi"/>
          <w:sz w:val="24"/>
          <w:szCs w:val="24"/>
        </w:rPr>
        <w:t xml:space="preserve"> v roce 2020. V období let 2021</w:t>
      </w:r>
      <w:r w:rsidR="00FA3F22">
        <w:rPr>
          <w:rFonts w:cstheme="minorHAnsi"/>
          <w:sz w:val="24"/>
          <w:szCs w:val="24"/>
        </w:rPr>
        <w:t>–</w:t>
      </w:r>
      <w:r w:rsidR="00634193" w:rsidRPr="00DE0CEE">
        <w:rPr>
          <w:rFonts w:cstheme="minorHAnsi"/>
          <w:sz w:val="24"/>
          <w:szCs w:val="24"/>
        </w:rPr>
        <w:t>2024 pak tyto váhy vůbec nebyly využívány pro kontrolní vážení</w:t>
      </w:r>
      <w:r w:rsidR="00981BED">
        <w:rPr>
          <w:rFonts w:cstheme="minorHAnsi"/>
          <w:sz w:val="24"/>
          <w:szCs w:val="24"/>
        </w:rPr>
        <w:t>.</w:t>
      </w:r>
      <w:r w:rsidR="00634193" w:rsidRPr="00DE0CEE">
        <w:rPr>
          <w:rFonts w:cstheme="minorHAnsi"/>
          <w:sz w:val="24"/>
          <w:szCs w:val="24"/>
        </w:rPr>
        <w:t xml:space="preserve"> </w:t>
      </w:r>
      <w:r w:rsidR="0038430A">
        <w:rPr>
          <w:rFonts w:cstheme="minorHAnsi"/>
          <w:sz w:val="24"/>
          <w:szCs w:val="24"/>
        </w:rPr>
        <w:t>P</w:t>
      </w:r>
      <w:r w:rsidR="00634193" w:rsidRPr="00DE0CEE">
        <w:rPr>
          <w:rFonts w:cstheme="minorHAnsi"/>
          <w:sz w:val="24"/>
          <w:szCs w:val="24"/>
        </w:rPr>
        <w:t>eněžní prostředky státu na jejich pořízení a provoz tak ŘSD vynaložilo neúčelně</w:t>
      </w:r>
      <w:r w:rsidR="00EA6F74">
        <w:rPr>
          <w:rFonts w:cstheme="minorHAnsi"/>
          <w:sz w:val="24"/>
          <w:szCs w:val="24"/>
        </w:rPr>
        <w:t xml:space="preserve"> </w:t>
      </w:r>
      <w:r w:rsidR="00C5628A">
        <w:rPr>
          <w:rFonts w:cstheme="minorHAnsi"/>
          <w:sz w:val="24"/>
          <w:szCs w:val="24"/>
        </w:rPr>
        <w:br/>
      </w:r>
      <w:r w:rsidR="00EA6F74">
        <w:rPr>
          <w:rFonts w:cstheme="minorHAnsi"/>
          <w:sz w:val="24"/>
          <w:szCs w:val="24"/>
        </w:rPr>
        <w:t>a</w:t>
      </w:r>
      <w:r w:rsidR="00CD1D1B" w:rsidRPr="00DE0CEE">
        <w:rPr>
          <w:rFonts w:cstheme="minorHAnsi"/>
          <w:sz w:val="24"/>
          <w:szCs w:val="24"/>
        </w:rPr>
        <w:t xml:space="preserve"> nehospodárně</w:t>
      </w:r>
      <w:r w:rsidR="00634193" w:rsidRPr="00DE0CEE">
        <w:rPr>
          <w:rFonts w:cstheme="minorHAnsi"/>
          <w:sz w:val="24"/>
          <w:szCs w:val="24"/>
        </w:rPr>
        <w:t xml:space="preserve"> </w:t>
      </w:r>
      <w:r w:rsidR="00CD520F" w:rsidRPr="00DE0CEE">
        <w:rPr>
          <w:rFonts w:cstheme="minorHAnsi"/>
          <w:sz w:val="24"/>
          <w:szCs w:val="24"/>
        </w:rPr>
        <w:t>(viz odst</w:t>
      </w:r>
      <w:r w:rsidR="00AB0823" w:rsidRPr="00DE0CEE">
        <w:rPr>
          <w:rFonts w:cstheme="minorHAnsi"/>
          <w:sz w:val="24"/>
          <w:szCs w:val="24"/>
        </w:rPr>
        <w:t>.</w:t>
      </w:r>
      <w:r w:rsidR="00CD520F" w:rsidRPr="00DE0CEE">
        <w:rPr>
          <w:rFonts w:cstheme="minorHAnsi"/>
          <w:sz w:val="24"/>
          <w:szCs w:val="24"/>
        </w:rPr>
        <w:t xml:space="preserve"> 4.</w:t>
      </w:r>
      <w:r w:rsidR="00981BED" w:rsidRPr="00DE0CEE">
        <w:rPr>
          <w:rFonts w:cstheme="minorHAnsi"/>
          <w:sz w:val="24"/>
          <w:szCs w:val="24"/>
        </w:rPr>
        <w:t>3</w:t>
      </w:r>
      <w:r w:rsidR="00981BED">
        <w:rPr>
          <w:rFonts w:cstheme="minorHAnsi"/>
          <w:sz w:val="24"/>
          <w:szCs w:val="24"/>
        </w:rPr>
        <w:t>9</w:t>
      </w:r>
      <w:r w:rsidR="00FA3F22">
        <w:rPr>
          <w:rFonts w:cstheme="minorHAnsi"/>
          <w:sz w:val="24"/>
          <w:szCs w:val="24"/>
        </w:rPr>
        <w:t>–</w:t>
      </w:r>
      <w:r w:rsidR="00CD520F" w:rsidRPr="00DE0CEE">
        <w:rPr>
          <w:rFonts w:cstheme="minorHAnsi"/>
          <w:sz w:val="24"/>
          <w:szCs w:val="24"/>
        </w:rPr>
        <w:t>4.</w:t>
      </w:r>
      <w:r w:rsidR="00981BED" w:rsidRPr="00DE0CEE">
        <w:rPr>
          <w:rFonts w:cstheme="minorHAnsi"/>
          <w:sz w:val="24"/>
          <w:szCs w:val="24"/>
        </w:rPr>
        <w:t>4</w:t>
      </w:r>
      <w:r w:rsidR="00981BED">
        <w:rPr>
          <w:rFonts w:cstheme="minorHAnsi"/>
          <w:sz w:val="24"/>
          <w:szCs w:val="24"/>
        </w:rPr>
        <w:t>3</w:t>
      </w:r>
      <w:r w:rsidR="00CD520F" w:rsidRPr="00DE0CEE">
        <w:rPr>
          <w:rFonts w:cstheme="minorHAnsi"/>
          <w:sz w:val="24"/>
          <w:szCs w:val="24"/>
        </w:rPr>
        <w:t>)</w:t>
      </w:r>
      <w:r w:rsidR="00427F76" w:rsidRPr="00DE0CEE">
        <w:rPr>
          <w:rFonts w:cstheme="minorHAnsi"/>
          <w:sz w:val="24"/>
          <w:szCs w:val="24"/>
        </w:rPr>
        <w:t>.</w:t>
      </w:r>
    </w:p>
    <w:bookmarkEnd w:id="9"/>
    <w:p w14:paraId="1CBC901E" w14:textId="77777777" w:rsidR="004E39B0" w:rsidRPr="00DE0CEE" w:rsidRDefault="004E39B0" w:rsidP="002C4E3B">
      <w:pPr>
        <w:spacing w:after="0" w:line="252" w:lineRule="auto"/>
        <w:contextualSpacing/>
        <w:jc w:val="both"/>
        <w:rPr>
          <w:rFonts w:cstheme="minorHAnsi"/>
          <w:sz w:val="24"/>
          <w:szCs w:val="24"/>
        </w:rPr>
      </w:pPr>
    </w:p>
    <w:p w14:paraId="08F19DBA" w14:textId="384AFBA5" w:rsidR="00BF4B8B" w:rsidRPr="00DE0CEE" w:rsidRDefault="00BF4B8B" w:rsidP="00BF4B8B">
      <w:pPr>
        <w:pStyle w:val="Odstavecseseznamem"/>
        <w:numPr>
          <w:ilvl w:val="0"/>
          <w:numId w:val="2"/>
        </w:numPr>
        <w:spacing w:after="0" w:line="252" w:lineRule="auto"/>
        <w:ind w:left="284" w:hanging="284"/>
        <w:jc w:val="both"/>
        <w:rPr>
          <w:rFonts w:cstheme="minorHAnsi"/>
          <w:sz w:val="24"/>
          <w:szCs w:val="24"/>
        </w:rPr>
      </w:pPr>
      <w:r w:rsidRPr="00DE0CEE">
        <w:rPr>
          <w:rFonts w:cstheme="minorHAnsi"/>
          <w:sz w:val="24"/>
          <w:szCs w:val="24"/>
        </w:rPr>
        <w:t xml:space="preserve">Celkové příjmy SFDI z pokut z kontrolního vážení v období </w:t>
      </w:r>
      <w:r w:rsidR="000B6141" w:rsidRPr="00DE0CEE">
        <w:rPr>
          <w:rFonts w:cstheme="minorHAnsi"/>
          <w:sz w:val="24"/>
          <w:szCs w:val="24"/>
        </w:rPr>
        <w:t xml:space="preserve">od ledna 2020 do září 2024 </w:t>
      </w:r>
      <w:r w:rsidRPr="00DE0CEE">
        <w:rPr>
          <w:rFonts w:cstheme="minorHAnsi"/>
          <w:sz w:val="24"/>
          <w:szCs w:val="24"/>
        </w:rPr>
        <w:t xml:space="preserve">činily 93,50 mil. Kč, z toho na pokuty z VKV připadlo jen 21,13 mil. Kč. Přestože výše vybraných pokut nemůže být jediným měřítkem účelnosti a efektivnosti systému VKV, jejich nízký objem svědčí o velmi omezené </w:t>
      </w:r>
      <w:r w:rsidR="00CA17AF" w:rsidRPr="00DE0CEE">
        <w:rPr>
          <w:rFonts w:cstheme="minorHAnsi"/>
          <w:sz w:val="24"/>
          <w:szCs w:val="24"/>
        </w:rPr>
        <w:t xml:space="preserve">preventivní </w:t>
      </w:r>
      <w:r w:rsidR="00CA17AF">
        <w:rPr>
          <w:rFonts w:cstheme="minorHAnsi"/>
          <w:sz w:val="24"/>
          <w:szCs w:val="24"/>
        </w:rPr>
        <w:t xml:space="preserve">i </w:t>
      </w:r>
      <w:r w:rsidRPr="00DE0CEE">
        <w:rPr>
          <w:rFonts w:cstheme="minorHAnsi"/>
          <w:sz w:val="24"/>
          <w:szCs w:val="24"/>
        </w:rPr>
        <w:t>represivní</w:t>
      </w:r>
      <w:r w:rsidR="00CA17AF" w:rsidRPr="00DE0CEE" w:rsidDel="00CA17AF">
        <w:rPr>
          <w:rFonts w:cstheme="minorHAnsi"/>
          <w:sz w:val="24"/>
          <w:szCs w:val="24"/>
        </w:rPr>
        <w:t xml:space="preserve"> </w:t>
      </w:r>
      <w:r w:rsidRPr="00DE0CEE">
        <w:rPr>
          <w:rFonts w:cstheme="minorHAnsi"/>
          <w:sz w:val="24"/>
          <w:szCs w:val="24"/>
        </w:rPr>
        <w:t>funkci tohoto systému v</w:t>
      </w:r>
      <w:r w:rsidR="00C60751">
        <w:rPr>
          <w:rFonts w:cstheme="minorHAnsi"/>
          <w:sz w:val="24"/>
          <w:szCs w:val="24"/>
        </w:rPr>
        <w:t xml:space="preserve"> </w:t>
      </w:r>
      <w:r w:rsidRPr="00DE0CEE">
        <w:rPr>
          <w:rFonts w:cstheme="minorHAnsi"/>
          <w:sz w:val="24"/>
          <w:szCs w:val="24"/>
        </w:rPr>
        <w:t>jeho stávající podobě (viz odst</w:t>
      </w:r>
      <w:r w:rsidR="00AB0823" w:rsidRPr="00DE0CEE">
        <w:rPr>
          <w:rFonts w:cstheme="minorHAnsi"/>
          <w:sz w:val="24"/>
          <w:szCs w:val="24"/>
        </w:rPr>
        <w:t>.</w:t>
      </w:r>
      <w:r w:rsidRPr="00DE0CEE">
        <w:rPr>
          <w:rFonts w:cstheme="minorHAnsi"/>
          <w:sz w:val="24"/>
          <w:szCs w:val="24"/>
        </w:rPr>
        <w:t xml:space="preserve"> 4.</w:t>
      </w:r>
      <w:r w:rsidR="00981BED" w:rsidRPr="00DE0CEE">
        <w:rPr>
          <w:rFonts w:cstheme="minorHAnsi"/>
          <w:sz w:val="24"/>
          <w:szCs w:val="24"/>
        </w:rPr>
        <w:t>4</w:t>
      </w:r>
      <w:r w:rsidR="00981BED">
        <w:rPr>
          <w:rFonts w:cstheme="minorHAnsi"/>
          <w:sz w:val="24"/>
          <w:szCs w:val="24"/>
        </w:rPr>
        <w:t>4</w:t>
      </w:r>
      <w:r w:rsidR="00FA3F22">
        <w:rPr>
          <w:rFonts w:cstheme="minorHAnsi"/>
          <w:sz w:val="24"/>
          <w:szCs w:val="24"/>
        </w:rPr>
        <w:t>–</w:t>
      </w:r>
      <w:r w:rsidRPr="00DE0CEE">
        <w:rPr>
          <w:rFonts w:cstheme="minorHAnsi"/>
          <w:sz w:val="24"/>
          <w:szCs w:val="24"/>
        </w:rPr>
        <w:t>4.</w:t>
      </w:r>
      <w:r w:rsidR="00981BED" w:rsidRPr="00DE0CEE">
        <w:rPr>
          <w:rFonts w:cstheme="minorHAnsi"/>
          <w:sz w:val="24"/>
          <w:szCs w:val="24"/>
        </w:rPr>
        <w:t>4</w:t>
      </w:r>
      <w:r w:rsidR="00981BED">
        <w:rPr>
          <w:rFonts w:cstheme="minorHAnsi"/>
          <w:sz w:val="24"/>
          <w:szCs w:val="24"/>
        </w:rPr>
        <w:t>8</w:t>
      </w:r>
      <w:r w:rsidRPr="00DE0CEE">
        <w:rPr>
          <w:rFonts w:cstheme="minorHAnsi"/>
          <w:sz w:val="24"/>
          <w:szCs w:val="24"/>
        </w:rPr>
        <w:t>).</w:t>
      </w:r>
    </w:p>
    <w:p w14:paraId="383C9F58" w14:textId="77777777" w:rsidR="00BF4B8B" w:rsidRPr="00DE0CEE" w:rsidRDefault="00BF4B8B" w:rsidP="00BF4B8B">
      <w:pPr>
        <w:spacing w:after="0" w:line="252" w:lineRule="auto"/>
        <w:jc w:val="both"/>
        <w:rPr>
          <w:rFonts w:cstheme="minorHAnsi"/>
          <w:sz w:val="24"/>
          <w:szCs w:val="24"/>
        </w:rPr>
      </w:pPr>
    </w:p>
    <w:p w14:paraId="08B9C458" w14:textId="408B3304" w:rsidR="004E39B0" w:rsidRPr="00DE0CEE" w:rsidRDefault="00B17298" w:rsidP="002C4E3B">
      <w:pPr>
        <w:pStyle w:val="Odstavecseseznamem"/>
        <w:numPr>
          <w:ilvl w:val="0"/>
          <w:numId w:val="2"/>
        </w:numPr>
        <w:spacing w:after="0" w:line="252" w:lineRule="auto"/>
        <w:ind w:left="284" w:hanging="284"/>
        <w:jc w:val="both"/>
        <w:rPr>
          <w:rFonts w:cstheme="minorHAnsi"/>
          <w:sz w:val="24"/>
          <w:szCs w:val="24"/>
        </w:rPr>
      </w:pPr>
      <w:proofErr w:type="spellStart"/>
      <w:r>
        <w:rPr>
          <w:rFonts w:cstheme="minorHAnsi"/>
          <w:sz w:val="24"/>
          <w:szCs w:val="24"/>
        </w:rPr>
        <w:t>Nízkorychlostní</w:t>
      </w:r>
      <w:proofErr w:type="spellEnd"/>
      <w:r>
        <w:rPr>
          <w:rFonts w:cstheme="minorHAnsi"/>
          <w:sz w:val="24"/>
          <w:szCs w:val="24"/>
        </w:rPr>
        <w:t xml:space="preserve"> kontrolní vážení </w:t>
      </w:r>
      <w:r w:rsidR="004E39B0" w:rsidRPr="00DE0CEE">
        <w:rPr>
          <w:rFonts w:cstheme="minorHAnsi"/>
          <w:sz w:val="24"/>
          <w:szCs w:val="24"/>
        </w:rPr>
        <w:t xml:space="preserve">na dálnicích </w:t>
      </w:r>
      <w:r w:rsidR="00EA3AB4" w:rsidRPr="00DE0CEE">
        <w:rPr>
          <w:rFonts w:cstheme="minorHAnsi"/>
          <w:sz w:val="24"/>
          <w:szCs w:val="24"/>
        </w:rPr>
        <w:t xml:space="preserve">zajišťovalo </w:t>
      </w:r>
      <w:r w:rsidR="004E39B0" w:rsidRPr="00DE0CEE">
        <w:rPr>
          <w:rFonts w:cstheme="minorHAnsi"/>
          <w:sz w:val="24"/>
          <w:szCs w:val="24"/>
        </w:rPr>
        <w:t xml:space="preserve">z pověření MD </w:t>
      </w:r>
      <w:r w:rsidR="00EA3AB4" w:rsidRPr="00EA3AB4">
        <w:rPr>
          <w:rFonts w:cstheme="minorHAnsi"/>
          <w:sz w:val="24"/>
          <w:szCs w:val="24"/>
        </w:rPr>
        <w:t>Ředitelství silnic a</w:t>
      </w:r>
      <w:r w:rsidR="00EA3AB4">
        <w:rPr>
          <w:rFonts w:cstheme="minorHAnsi"/>
          <w:sz w:val="24"/>
          <w:szCs w:val="24"/>
        </w:rPr>
        <w:t> </w:t>
      </w:r>
      <w:r w:rsidR="00EA3AB4" w:rsidRPr="00EA3AB4">
        <w:rPr>
          <w:rFonts w:cstheme="minorHAnsi"/>
          <w:sz w:val="24"/>
          <w:szCs w:val="24"/>
        </w:rPr>
        <w:t xml:space="preserve">dálnic </w:t>
      </w:r>
      <w:r w:rsidR="004E39B0" w:rsidRPr="00DE0CEE">
        <w:rPr>
          <w:rFonts w:cstheme="minorHAnsi"/>
          <w:sz w:val="24"/>
          <w:szCs w:val="24"/>
        </w:rPr>
        <w:t xml:space="preserve">ve spolupráci s Centrem </w:t>
      </w:r>
      <w:r w:rsidR="000D04F3" w:rsidRPr="00DE0CEE">
        <w:rPr>
          <w:rFonts w:cstheme="minorHAnsi"/>
          <w:sz w:val="24"/>
          <w:szCs w:val="24"/>
        </w:rPr>
        <w:t xml:space="preserve">služeb </w:t>
      </w:r>
      <w:r w:rsidR="004E39B0" w:rsidRPr="00DE0CEE">
        <w:rPr>
          <w:rFonts w:cstheme="minorHAnsi"/>
          <w:sz w:val="24"/>
          <w:szCs w:val="24"/>
        </w:rPr>
        <w:t>pro silniční dopravu</w:t>
      </w:r>
      <w:r w:rsidR="004E39B0" w:rsidRPr="00DE0CEE">
        <w:rPr>
          <w:rStyle w:val="Znakapoznpodarou"/>
          <w:rFonts w:cstheme="minorHAnsi"/>
          <w:sz w:val="24"/>
          <w:szCs w:val="24"/>
        </w:rPr>
        <w:footnoteReference w:id="13"/>
      </w:r>
      <w:r w:rsidR="004E39B0" w:rsidRPr="00DE0CEE">
        <w:rPr>
          <w:rFonts w:cstheme="minorHAnsi"/>
          <w:sz w:val="24"/>
          <w:szCs w:val="24"/>
        </w:rPr>
        <w:t xml:space="preserve"> (dále též „CSPSD“), Policií České republiky a Celní správou. NKÚ zjistil, že ŘSD nemá účinné nástroje pro řízení NKV tak, aby probíhalo efektivně. </w:t>
      </w:r>
      <w:r w:rsidR="00AB4E01" w:rsidRPr="00DE0CEE">
        <w:rPr>
          <w:rFonts w:cstheme="minorHAnsi"/>
          <w:sz w:val="24"/>
          <w:szCs w:val="24"/>
        </w:rPr>
        <w:t>P</w:t>
      </w:r>
      <w:r w:rsidR="004E39B0" w:rsidRPr="00DE0CEE">
        <w:rPr>
          <w:rFonts w:cstheme="minorHAnsi"/>
          <w:sz w:val="24"/>
          <w:szCs w:val="24"/>
        </w:rPr>
        <w:t>očet kontrol je nízký</w:t>
      </w:r>
      <w:r w:rsidR="00EC7455" w:rsidRPr="00DE0CEE">
        <w:rPr>
          <w:rFonts w:cstheme="minorHAnsi"/>
          <w:sz w:val="24"/>
          <w:szCs w:val="24"/>
        </w:rPr>
        <w:t xml:space="preserve"> a </w:t>
      </w:r>
      <w:r w:rsidR="00BF4B8B" w:rsidRPr="00DE0CEE">
        <w:rPr>
          <w:rFonts w:cstheme="minorHAnsi"/>
          <w:sz w:val="24"/>
          <w:szCs w:val="24"/>
        </w:rPr>
        <w:t>k</w:t>
      </w:r>
      <w:r w:rsidR="004E39B0" w:rsidRPr="00DE0CEE">
        <w:rPr>
          <w:rFonts w:cstheme="minorHAnsi"/>
          <w:sz w:val="24"/>
          <w:szCs w:val="24"/>
        </w:rPr>
        <w:t>ontroly se nezaměřují na těžká nákladní vozidla</w:t>
      </w:r>
      <w:r w:rsidR="00BF4B8B" w:rsidRPr="00DE0CEE">
        <w:rPr>
          <w:rFonts w:cstheme="minorHAnsi"/>
          <w:sz w:val="24"/>
          <w:szCs w:val="24"/>
        </w:rPr>
        <w:t xml:space="preserve"> poškozující dopravní infrastrukturu</w:t>
      </w:r>
      <w:r w:rsidR="004E39B0" w:rsidRPr="00DE0CEE">
        <w:rPr>
          <w:rFonts w:cstheme="minorHAnsi"/>
          <w:sz w:val="24"/>
          <w:szCs w:val="24"/>
        </w:rPr>
        <w:t xml:space="preserve">, ale </w:t>
      </w:r>
      <w:r w:rsidR="00AB4E01" w:rsidRPr="00DE0CEE">
        <w:rPr>
          <w:rFonts w:cstheme="minorHAnsi"/>
          <w:sz w:val="24"/>
          <w:szCs w:val="24"/>
        </w:rPr>
        <w:t>především</w:t>
      </w:r>
      <w:r w:rsidR="004E39B0" w:rsidRPr="00DE0CEE">
        <w:rPr>
          <w:rFonts w:cstheme="minorHAnsi"/>
          <w:sz w:val="24"/>
          <w:szCs w:val="24"/>
        </w:rPr>
        <w:t xml:space="preserve"> na vozidla s hmotností do 3,5 tuny</w:t>
      </w:r>
      <w:r w:rsidR="00CD520F" w:rsidRPr="00DE0CEE">
        <w:rPr>
          <w:rFonts w:cstheme="minorHAnsi"/>
          <w:sz w:val="24"/>
          <w:szCs w:val="24"/>
        </w:rPr>
        <w:t xml:space="preserve"> (viz odst</w:t>
      </w:r>
      <w:r w:rsidR="00AB0823" w:rsidRPr="00DE0CEE">
        <w:rPr>
          <w:rFonts w:cstheme="minorHAnsi"/>
          <w:sz w:val="24"/>
          <w:szCs w:val="24"/>
        </w:rPr>
        <w:t>.</w:t>
      </w:r>
      <w:r w:rsidR="00CD520F" w:rsidRPr="00DE0CEE">
        <w:rPr>
          <w:rFonts w:cstheme="minorHAnsi"/>
          <w:sz w:val="24"/>
          <w:szCs w:val="24"/>
        </w:rPr>
        <w:t xml:space="preserve"> 4.</w:t>
      </w:r>
      <w:r w:rsidR="00981BED" w:rsidRPr="00DE0CEE">
        <w:rPr>
          <w:rFonts w:cstheme="minorHAnsi"/>
          <w:sz w:val="24"/>
          <w:szCs w:val="24"/>
        </w:rPr>
        <w:t>4</w:t>
      </w:r>
      <w:r w:rsidR="00981BED">
        <w:rPr>
          <w:rFonts w:cstheme="minorHAnsi"/>
          <w:sz w:val="24"/>
          <w:szCs w:val="24"/>
        </w:rPr>
        <w:t>9</w:t>
      </w:r>
      <w:r w:rsidR="00FA3F22">
        <w:rPr>
          <w:rFonts w:cstheme="minorHAnsi"/>
          <w:sz w:val="24"/>
          <w:szCs w:val="24"/>
        </w:rPr>
        <w:t>–</w:t>
      </w:r>
      <w:r w:rsidR="00CD520F" w:rsidRPr="00DE0CEE">
        <w:rPr>
          <w:rFonts w:cstheme="minorHAnsi"/>
          <w:sz w:val="24"/>
          <w:szCs w:val="24"/>
        </w:rPr>
        <w:t>4.</w:t>
      </w:r>
      <w:r w:rsidR="00981BED" w:rsidRPr="00DE0CEE">
        <w:rPr>
          <w:rFonts w:cstheme="minorHAnsi"/>
          <w:sz w:val="24"/>
          <w:szCs w:val="24"/>
        </w:rPr>
        <w:t>5</w:t>
      </w:r>
      <w:r w:rsidR="00981BED">
        <w:rPr>
          <w:rFonts w:cstheme="minorHAnsi"/>
          <w:sz w:val="24"/>
          <w:szCs w:val="24"/>
        </w:rPr>
        <w:t>4</w:t>
      </w:r>
      <w:r w:rsidR="00CD520F" w:rsidRPr="00DE0CEE">
        <w:rPr>
          <w:rFonts w:cstheme="minorHAnsi"/>
          <w:sz w:val="24"/>
          <w:szCs w:val="24"/>
        </w:rPr>
        <w:t>)</w:t>
      </w:r>
      <w:r w:rsidR="004E39B0" w:rsidRPr="00DE0CEE">
        <w:rPr>
          <w:rFonts w:cstheme="minorHAnsi"/>
          <w:sz w:val="24"/>
          <w:szCs w:val="24"/>
        </w:rPr>
        <w:t xml:space="preserve">. </w:t>
      </w:r>
    </w:p>
    <w:p w14:paraId="59AE217C" w14:textId="65C64A14" w:rsidR="004E39B0" w:rsidRPr="00DE0CEE" w:rsidRDefault="004E39B0" w:rsidP="002C4E3B">
      <w:pPr>
        <w:pStyle w:val="Odstavecseseznamem"/>
        <w:spacing w:after="0" w:line="252" w:lineRule="auto"/>
        <w:rPr>
          <w:rFonts w:eastAsia="Calibri" w:cstheme="minorHAnsi"/>
          <w:sz w:val="24"/>
          <w:szCs w:val="24"/>
        </w:rPr>
      </w:pPr>
    </w:p>
    <w:p w14:paraId="4D0ACDE3" w14:textId="77777777" w:rsidR="00EA3AB4" w:rsidRDefault="00EA3AB4">
      <w:pPr>
        <w:rPr>
          <w:rFonts w:eastAsia="Calibri" w:cstheme="minorHAnsi"/>
          <w:sz w:val="24"/>
          <w:szCs w:val="24"/>
        </w:rPr>
      </w:pPr>
      <w:bookmarkStart w:id="12" w:name="_Hlk190151175"/>
      <w:r>
        <w:rPr>
          <w:rFonts w:eastAsia="Calibri" w:cstheme="minorHAnsi"/>
          <w:sz w:val="24"/>
          <w:szCs w:val="24"/>
        </w:rPr>
        <w:br w:type="page"/>
      </w:r>
    </w:p>
    <w:p w14:paraId="084770C3" w14:textId="37310648" w:rsidR="00192625" w:rsidRPr="00DE0CEE" w:rsidRDefault="00515CEF" w:rsidP="00BF4B8B">
      <w:pPr>
        <w:pStyle w:val="Odstavecseseznamem"/>
        <w:numPr>
          <w:ilvl w:val="0"/>
          <w:numId w:val="2"/>
        </w:numPr>
        <w:spacing w:after="0" w:line="252" w:lineRule="auto"/>
        <w:ind w:left="284" w:hanging="284"/>
        <w:jc w:val="both"/>
        <w:rPr>
          <w:rFonts w:cstheme="minorHAnsi"/>
          <w:sz w:val="24"/>
          <w:szCs w:val="24"/>
        </w:rPr>
      </w:pPr>
      <w:r w:rsidRPr="00DE0CEE">
        <w:rPr>
          <w:rFonts w:eastAsia="Calibri" w:cstheme="minorHAnsi"/>
          <w:sz w:val="24"/>
          <w:szCs w:val="24"/>
        </w:rPr>
        <w:lastRenderedPageBreak/>
        <w:t>S</w:t>
      </w:r>
      <w:r w:rsidR="00192625" w:rsidRPr="00DE0CEE">
        <w:rPr>
          <w:rFonts w:eastAsia="Calibri" w:cstheme="minorHAnsi"/>
          <w:sz w:val="24"/>
          <w:szCs w:val="24"/>
        </w:rPr>
        <w:t>ystém kontrolního vážení neplní svůj účel a nepředstavuje účinný nástroj pro omezení jízd přetížených vozidel</w:t>
      </w:r>
      <w:r w:rsidR="00E13298" w:rsidRPr="00DE0CEE">
        <w:rPr>
          <w:rFonts w:eastAsia="Calibri" w:cstheme="minorHAnsi"/>
          <w:sz w:val="24"/>
          <w:szCs w:val="24"/>
        </w:rPr>
        <w:t xml:space="preserve"> a ochranu dopravní infrastruktury před jejím poškozováním těmito vozidly</w:t>
      </w:r>
      <w:r w:rsidR="00192625" w:rsidRPr="00DE0CEE">
        <w:rPr>
          <w:rFonts w:eastAsia="Calibri" w:cstheme="minorHAnsi"/>
          <w:sz w:val="24"/>
          <w:szCs w:val="24"/>
        </w:rPr>
        <w:t xml:space="preserve">. </w:t>
      </w:r>
      <w:r w:rsidR="00192625" w:rsidRPr="00DE0CEE">
        <w:rPr>
          <w:rFonts w:cstheme="minorHAnsi"/>
          <w:sz w:val="24"/>
          <w:szCs w:val="24"/>
        </w:rPr>
        <w:t>Nedostatky, na které NKÚ poukázal již v letech 2018 a 2021</w:t>
      </w:r>
      <w:r w:rsidR="00192625" w:rsidRPr="00DE0CEE">
        <w:rPr>
          <w:rStyle w:val="Znakapoznpodarou"/>
          <w:rFonts w:cstheme="minorHAnsi"/>
          <w:sz w:val="24"/>
          <w:szCs w:val="24"/>
        </w:rPr>
        <w:footnoteReference w:id="14"/>
      </w:r>
      <w:r w:rsidR="00EB42A0">
        <w:rPr>
          <w:rFonts w:cstheme="minorHAnsi"/>
          <w:sz w:val="24"/>
          <w:szCs w:val="24"/>
        </w:rPr>
        <w:t>,</w:t>
      </w:r>
      <w:r w:rsidR="00192625" w:rsidRPr="00DE0CEE">
        <w:rPr>
          <w:rFonts w:cstheme="minorHAnsi"/>
          <w:sz w:val="24"/>
          <w:szCs w:val="24"/>
        </w:rPr>
        <w:t xml:space="preserve"> MD neodstranilo</w:t>
      </w:r>
      <w:r w:rsidR="00BF4B8B" w:rsidRPr="00DE0CEE">
        <w:rPr>
          <w:rFonts w:cstheme="minorHAnsi"/>
          <w:sz w:val="24"/>
          <w:szCs w:val="24"/>
        </w:rPr>
        <w:t xml:space="preserve">. Výsledky kontrolního vážení MD nevyhodnocovalo a kontrolní činnost v této oblasti neprovádělo. Údaji, na </w:t>
      </w:r>
      <w:proofErr w:type="gramStart"/>
      <w:r w:rsidR="00BF4B8B" w:rsidRPr="00DE0CEE">
        <w:rPr>
          <w:rFonts w:cstheme="minorHAnsi"/>
          <w:sz w:val="24"/>
          <w:szCs w:val="24"/>
        </w:rPr>
        <w:t>základě</w:t>
      </w:r>
      <w:proofErr w:type="gramEnd"/>
      <w:r w:rsidR="00BF4B8B" w:rsidRPr="00DE0CEE">
        <w:rPr>
          <w:rFonts w:cstheme="minorHAnsi"/>
          <w:sz w:val="24"/>
          <w:szCs w:val="24"/>
        </w:rPr>
        <w:t xml:space="preserve"> kterých by bylo možno vyhodnotit vliv kontrolního vážení na omezení jízd přetížených vozidel, MD ani ŘSD nedisponují. Z dostupných údajů ovšem vyplývá, že počet jízd přetížených vozidel zůstává vysoký </w:t>
      </w:r>
      <w:r w:rsidR="00CD520F" w:rsidRPr="00DE0CEE">
        <w:rPr>
          <w:rFonts w:cstheme="minorHAnsi"/>
          <w:sz w:val="24"/>
          <w:szCs w:val="24"/>
        </w:rPr>
        <w:t>(viz odst</w:t>
      </w:r>
      <w:r w:rsidR="00AB0823" w:rsidRPr="00DE0CEE">
        <w:rPr>
          <w:rFonts w:cstheme="minorHAnsi"/>
          <w:sz w:val="24"/>
          <w:szCs w:val="24"/>
        </w:rPr>
        <w:t>.</w:t>
      </w:r>
      <w:r w:rsidR="00CD520F" w:rsidRPr="00DE0CEE">
        <w:rPr>
          <w:rFonts w:cstheme="minorHAnsi"/>
          <w:sz w:val="24"/>
          <w:szCs w:val="24"/>
        </w:rPr>
        <w:t xml:space="preserve"> 4.</w:t>
      </w:r>
      <w:r w:rsidR="00981BED" w:rsidRPr="00DE0CEE">
        <w:rPr>
          <w:rFonts w:cstheme="minorHAnsi"/>
          <w:sz w:val="24"/>
          <w:szCs w:val="24"/>
        </w:rPr>
        <w:t>5</w:t>
      </w:r>
      <w:r w:rsidR="00981BED">
        <w:rPr>
          <w:rFonts w:cstheme="minorHAnsi"/>
          <w:sz w:val="24"/>
          <w:szCs w:val="24"/>
        </w:rPr>
        <w:t>6</w:t>
      </w:r>
      <w:r w:rsidR="00FA3F22">
        <w:rPr>
          <w:rFonts w:cstheme="minorHAnsi"/>
          <w:sz w:val="24"/>
          <w:szCs w:val="24"/>
        </w:rPr>
        <w:t>–</w:t>
      </w:r>
      <w:r w:rsidR="00CD520F" w:rsidRPr="00DE0CEE">
        <w:rPr>
          <w:rFonts w:cstheme="minorHAnsi"/>
          <w:sz w:val="24"/>
          <w:szCs w:val="24"/>
        </w:rPr>
        <w:t>4.</w:t>
      </w:r>
      <w:r w:rsidR="00981BED" w:rsidRPr="00DE0CEE">
        <w:rPr>
          <w:rFonts w:cstheme="minorHAnsi"/>
          <w:sz w:val="24"/>
          <w:szCs w:val="24"/>
        </w:rPr>
        <w:t>5</w:t>
      </w:r>
      <w:r w:rsidR="00981BED">
        <w:rPr>
          <w:rFonts w:cstheme="minorHAnsi"/>
          <w:sz w:val="24"/>
          <w:szCs w:val="24"/>
        </w:rPr>
        <w:t>9</w:t>
      </w:r>
      <w:r w:rsidR="00CD520F" w:rsidRPr="00DE0CEE">
        <w:rPr>
          <w:rFonts w:cstheme="minorHAnsi"/>
          <w:sz w:val="24"/>
          <w:szCs w:val="24"/>
        </w:rPr>
        <w:t>)</w:t>
      </w:r>
      <w:r w:rsidR="00192625" w:rsidRPr="00DE0CEE">
        <w:rPr>
          <w:rFonts w:cstheme="minorHAnsi"/>
          <w:sz w:val="24"/>
          <w:szCs w:val="24"/>
        </w:rPr>
        <w:t xml:space="preserve">. </w:t>
      </w:r>
    </w:p>
    <w:p w14:paraId="37BD8CBB" w14:textId="77777777" w:rsidR="00192625" w:rsidRPr="00DE0CEE" w:rsidRDefault="00192625" w:rsidP="002C4E3B">
      <w:pPr>
        <w:pStyle w:val="Odstavecseseznamem"/>
        <w:spacing w:after="0" w:line="252" w:lineRule="auto"/>
        <w:rPr>
          <w:rFonts w:eastAsia="Calibri" w:cstheme="minorHAnsi"/>
          <w:sz w:val="24"/>
          <w:szCs w:val="24"/>
        </w:rPr>
      </w:pPr>
    </w:p>
    <w:p w14:paraId="7DCCBBFE" w14:textId="167EABA4" w:rsidR="00192625" w:rsidRPr="00DE0CEE" w:rsidRDefault="00871C73" w:rsidP="00871C73">
      <w:pPr>
        <w:pStyle w:val="Odstavecseseznamem"/>
        <w:tabs>
          <w:tab w:val="left" w:pos="567"/>
        </w:tabs>
        <w:spacing w:after="0" w:line="252" w:lineRule="auto"/>
        <w:ind w:left="0"/>
        <w:jc w:val="both"/>
        <w:rPr>
          <w:rFonts w:eastAsia="Calibri" w:cstheme="minorHAnsi"/>
          <w:b/>
          <w:sz w:val="24"/>
          <w:szCs w:val="24"/>
        </w:rPr>
      </w:pPr>
      <w:r w:rsidRPr="00871C73">
        <w:rPr>
          <w:rFonts w:eastAsia="Calibri" w:cstheme="minorHAnsi"/>
          <w:b/>
          <w:spacing w:val="-1"/>
          <w:sz w:val="24"/>
          <w:szCs w:val="24"/>
        </w:rPr>
        <w:t xml:space="preserve">1.6 </w:t>
      </w:r>
      <w:r w:rsidR="00192625" w:rsidRPr="00871C73">
        <w:rPr>
          <w:rFonts w:eastAsia="Calibri" w:cstheme="minorHAnsi"/>
          <w:b/>
          <w:spacing w:val="-1"/>
          <w:sz w:val="24"/>
          <w:szCs w:val="24"/>
        </w:rPr>
        <w:t>NKÚ na základě výsledků kontroly</w:t>
      </w:r>
      <w:r w:rsidR="000634DA" w:rsidRPr="00871C73">
        <w:rPr>
          <w:rFonts w:eastAsia="Calibri" w:cstheme="minorHAnsi"/>
          <w:b/>
          <w:spacing w:val="-1"/>
          <w:sz w:val="24"/>
          <w:szCs w:val="24"/>
        </w:rPr>
        <w:t xml:space="preserve"> </w:t>
      </w:r>
      <w:r w:rsidR="00192625" w:rsidRPr="00871C73">
        <w:rPr>
          <w:rFonts w:eastAsia="Calibri" w:cstheme="minorHAnsi"/>
          <w:b/>
          <w:spacing w:val="-1"/>
          <w:sz w:val="24"/>
          <w:szCs w:val="24"/>
        </w:rPr>
        <w:t xml:space="preserve">doporučuje, aby </w:t>
      </w:r>
      <w:r w:rsidR="00515CEF" w:rsidRPr="00871C73">
        <w:rPr>
          <w:rFonts w:eastAsia="Calibri" w:cstheme="minorHAnsi"/>
          <w:b/>
          <w:spacing w:val="-1"/>
          <w:sz w:val="24"/>
          <w:szCs w:val="24"/>
        </w:rPr>
        <w:t>MD ve spolupráci s</w:t>
      </w:r>
      <w:r w:rsidR="00C44095" w:rsidRPr="00871C73">
        <w:rPr>
          <w:rFonts w:eastAsia="Calibri" w:cstheme="minorHAnsi"/>
          <w:b/>
          <w:spacing w:val="-1"/>
          <w:sz w:val="24"/>
          <w:szCs w:val="24"/>
        </w:rPr>
        <w:t xml:space="preserve"> </w:t>
      </w:r>
      <w:r w:rsidR="00515CEF" w:rsidRPr="00871C73">
        <w:rPr>
          <w:rFonts w:eastAsia="Calibri" w:cstheme="minorHAnsi"/>
          <w:b/>
          <w:spacing w:val="-1"/>
          <w:sz w:val="24"/>
          <w:szCs w:val="24"/>
        </w:rPr>
        <w:t xml:space="preserve">ŘSD </w:t>
      </w:r>
      <w:r w:rsidR="00220A24" w:rsidRPr="00871C73">
        <w:rPr>
          <w:rFonts w:eastAsia="Calibri" w:cstheme="minorHAnsi"/>
          <w:b/>
          <w:spacing w:val="-1"/>
          <w:sz w:val="24"/>
          <w:szCs w:val="24"/>
        </w:rPr>
        <w:t>přehodnotilo</w:t>
      </w:r>
      <w:r w:rsidR="00220A24" w:rsidRPr="00DE0CEE">
        <w:rPr>
          <w:rFonts w:eastAsia="Calibri" w:cstheme="minorHAnsi"/>
          <w:b/>
          <w:sz w:val="24"/>
          <w:szCs w:val="24"/>
        </w:rPr>
        <w:t xml:space="preserve"> a zásadně změnilo </w:t>
      </w:r>
      <w:r w:rsidR="00515CEF" w:rsidRPr="00DE0CEE">
        <w:rPr>
          <w:rFonts w:eastAsia="Calibri" w:cstheme="minorHAnsi"/>
          <w:b/>
          <w:sz w:val="24"/>
          <w:szCs w:val="24"/>
        </w:rPr>
        <w:t xml:space="preserve">přístup k problematice </w:t>
      </w:r>
      <w:r w:rsidR="00795B0D" w:rsidRPr="00DE0CEE">
        <w:rPr>
          <w:rFonts w:eastAsia="Calibri" w:cstheme="minorHAnsi"/>
          <w:b/>
          <w:sz w:val="24"/>
          <w:szCs w:val="24"/>
        </w:rPr>
        <w:t>kontrolního vážení vozidel</w:t>
      </w:r>
      <w:r w:rsidR="00515CEF" w:rsidRPr="00DE0CEE">
        <w:rPr>
          <w:rFonts w:eastAsia="Calibri" w:cstheme="minorHAnsi"/>
          <w:b/>
          <w:sz w:val="24"/>
          <w:szCs w:val="24"/>
        </w:rPr>
        <w:t>.</w:t>
      </w:r>
      <w:r w:rsidR="00515CEF" w:rsidRPr="00DE0CEE">
        <w:rPr>
          <w:rFonts w:eastAsia="Calibri" w:cstheme="minorHAnsi"/>
          <w:sz w:val="24"/>
          <w:szCs w:val="24"/>
        </w:rPr>
        <w:t xml:space="preserve"> </w:t>
      </w:r>
      <w:r w:rsidR="00795B0D" w:rsidRPr="00DE0CEE">
        <w:rPr>
          <w:rFonts w:eastAsia="Calibri" w:cstheme="minorHAnsi"/>
          <w:b/>
          <w:sz w:val="24"/>
          <w:szCs w:val="24"/>
        </w:rPr>
        <w:t>P</w:t>
      </w:r>
      <w:r w:rsidR="00192625" w:rsidRPr="00DE0CEE">
        <w:rPr>
          <w:rFonts w:eastAsia="Calibri" w:cstheme="minorHAnsi"/>
          <w:b/>
          <w:sz w:val="24"/>
          <w:szCs w:val="24"/>
        </w:rPr>
        <w:t xml:space="preserve">ři návrhu změn </w:t>
      </w:r>
      <w:r w:rsidR="00795B0D" w:rsidRPr="00DE0CEE">
        <w:rPr>
          <w:rFonts w:eastAsia="Calibri" w:cstheme="minorHAnsi"/>
          <w:b/>
          <w:sz w:val="24"/>
          <w:szCs w:val="24"/>
        </w:rPr>
        <w:t>by mělo vyjít</w:t>
      </w:r>
      <w:r w:rsidR="00192625" w:rsidRPr="00DE0CEE">
        <w:rPr>
          <w:rFonts w:eastAsia="Calibri" w:cstheme="minorHAnsi"/>
          <w:b/>
          <w:sz w:val="24"/>
          <w:szCs w:val="24"/>
        </w:rPr>
        <w:t xml:space="preserve"> z analýzy současné situace a jej</w:t>
      </w:r>
      <w:r w:rsidR="00EC7455" w:rsidRPr="00DE0CEE">
        <w:rPr>
          <w:rFonts w:eastAsia="Calibri" w:cstheme="minorHAnsi"/>
          <w:b/>
          <w:sz w:val="24"/>
          <w:szCs w:val="24"/>
        </w:rPr>
        <w:t>í</w:t>
      </w:r>
      <w:r w:rsidR="00192625" w:rsidRPr="00DE0CEE">
        <w:rPr>
          <w:rFonts w:eastAsia="Calibri" w:cstheme="minorHAnsi"/>
          <w:b/>
          <w:sz w:val="24"/>
          <w:szCs w:val="24"/>
        </w:rPr>
        <w:t xml:space="preserve">ch možných řešení. Strategie kontrolního vážení </w:t>
      </w:r>
      <w:r w:rsidR="00220A24" w:rsidRPr="00DE0CEE">
        <w:rPr>
          <w:rFonts w:eastAsia="Calibri" w:cstheme="minorHAnsi"/>
          <w:b/>
          <w:sz w:val="24"/>
          <w:szCs w:val="24"/>
        </w:rPr>
        <w:t>by měla</w:t>
      </w:r>
      <w:r w:rsidR="00192625" w:rsidRPr="00DE0CEE">
        <w:rPr>
          <w:rFonts w:eastAsia="Calibri" w:cstheme="minorHAnsi"/>
          <w:b/>
          <w:sz w:val="24"/>
          <w:szCs w:val="24"/>
        </w:rPr>
        <w:t xml:space="preserve"> obsahovat konkrétní a adresná opatření, implementační strukturu, procesy její realizace, </w:t>
      </w:r>
      <w:r w:rsidR="00B161D9" w:rsidRPr="00DE0CEE">
        <w:rPr>
          <w:rFonts w:eastAsia="Calibri" w:cstheme="minorHAnsi"/>
          <w:b/>
          <w:sz w:val="24"/>
          <w:szCs w:val="24"/>
        </w:rPr>
        <w:t xml:space="preserve">časový a finanční plán i </w:t>
      </w:r>
      <w:r w:rsidR="00192625" w:rsidRPr="00DE0CEE">
        <w:rPr>
          <w:rFonts w:eastAsia="Calibri" w:cstheme="minorHAnsi"/>
          <w:b/>
          <w:sz w:val="24"/>
          <w:szCs w:val="24"/>
        </w:rPr>
        <w:t>cílový stav a ukazatele pro sledování plnění stanovených cílů</w:t>
      </w:r>
      <w:r w:rsidR="00192625" w:rsidRPr="00DE0CEE">
        <w:rPr>
          <w:rStyle w:val="Znakapoznpodarou"/>
          <w:rFonts w:cstheme="minorHAnsi"/>
          <w:b/>
        </w:rPr>
        <w:footnoteReference w:id="15"/>
      </w:r>
      <w:r w:rsidR="00192625" w:rsidRPr="00DE0CEE">
        <w:rPr>
          <w:rFonts w:eastAsia="Calibri" w:cstheme="minorHAnsi"/>
          <w:b/>
          <w:sz w:val="24"/>
          <w:szCs w:val="24"/>
        </w:rPr>
        <w:t xml:space="preserve">. </w:t>
      </w:r>
      <w:r w:rsidR="000634DA" w:rsidRPr="00DE0CEE">
        <w:rPr>
          <w:rFonts w:eastAsia="Calibri" w:cstheme="minorHAnsi"/>
          <w:b/>
          <w:sz w:val="24"/>
          <w:szCs w:val="24"/>
        </w:rPr>
        <w:t>V</w:t>
      </w:r>
      <w:r w:rsidR="00192625" w:rsidRPr="00DE0CEE">
        <w:rPr>
          <w:rFonts w:cstheme="minorHAnsi"/>
          <w:b/>
          <w:sz w:val="24"/>
          <w:szCs w:val="24"/>
        </w:rPr>
        <w:t>ýstavba dalších vysokorychlostních vah bez odstranění problémů komplikujících</w:t>
      </w:r>
      <w:r w:rsidR="00DE41F0">
        <w:rPr>
          <w:rFonts w:cstheme="minorHAnsi"/>
          <w:b/>
          <w:sz w:val="24"/>
          <w:szCs w:val="24"/>
        </w:rPr>
        <w:t xml:space="preserve"> </w:t>
      </w:r>
      <w:r w:rsidR="00192625" w:rsidRPr="00DE0CEE">
        <w:rPr>
          <w:rFonts w:cstheme="minorHAnsi"/>
          <w:b/>
          <w:sz w:val="24"/>
          <w:szCs w:val="24"/>
        </w:rPr>
        <w:t>provoz</w:t>
      </w:r>
      <w:r w:rsidR="00DE41F0">
        <w:rPr>
          <w:rFonts w:cstheme="minorHAnsi"/>
          <w:b/>
          <w:sz w:val="24"/>
          <w:szCs w:val="24"/>
        </w:rPr>
        <w:t xml:space="preserve"> </w:t>
      </w:r>
      <w:r w:rsidR="00B369E9" w:rsidRPr="00B369E9">
        <w:rPr>
          <w:rFonts w:cstheme="minorHAnsi"/>
          <w:b/>
          <w:sz w:val="24"/>
          <w:szCs w:val="24"/>
        </w:rPr>
        <w:t>systému kontrolního vážení, ale i účinnou represi a</w:t>
      </w:r>
      <w:r>
        <w:rPr>
          <w:rFonts w:cstheme="minorHAnsi"/>
          <w:b/>
          <w:sz w:val="24"/>
          <w:szCs w:val="24"/>
        </w:rPr>
        <w:t xml:space="preserve"> </w:t>
      </w:r>
      <w:r w:rsidR="00B369E9" w:rsidRPr="00B369E9">
        <w:rPr>
          <w:rFonts w:cstheme="minorHAnsi"/>
          <w:b/>
          <w:sz w:val="24"/>
          <w:szCs w:val="24"/>
        </w:rPr>
        <w:t xml:space="preserve">prevenci, </w:t>
      </w:r>
      <w:r w:rsidR="00192625" w:rsidRPr="00DE0CEE">
        <w:rPr>
          <w:rFonts w:cstheme="minorHAnsi"/>
          <w:b/>
          <w:sz w:val="24"/>
          <w:szCs w:val="24"/>
        </w:rPr>
        <w:t xml:space="preserve">je spojena </w:t>
      </w:r>
      <w:r w:rsidR="00396B79">
        <w:rPr>
          <w:rFonts w:cstheme="minorHAnsi"/>
          <w:b/>
          <w:sz w:val="24"/>
          <w:szCs w:val="24"/>
        </w:rPr>
        <w:br/>
      </w:r>
      <w:r w:rsidR="00192625" w:rsidRPr="00DE0CEE">
        <w:rPr>
          <w:rFonts w:cstheme="minorHAnsi"/>
          <w:b/>
          <w:sz w:val="24"/>
          <w:szCs w:val="24"/>
        </w:rPr>
        <w:t>s</w:t>
      </w:r>
      <w:r w:rsidR="00396B79">
        <w:rPr>
          <w:rFonts w:cstheme="minorHAnsi"/>
          <w:b/>
          <w:sz w:val="24"/>
          <w:szCs w:val="24"/>
        </w:rPr>
        <w:t xml:space="preserve"> </w:t>
      </w:r>
      <w:r w:rsidR="00192625" w:rsidRPr="00DE0CEE">
        <w:rPr>
          <w:rFonts w:cstheme="minorHAnsi"/>
          <w:b/>
          <w:sz w:val="24"/>
          <w:szCs w:val="24"/>
        </w:rPr>
        <w:t xml:space="preserve">významným rizikem </w:t>
      </w:r>
      <w:r w:rsidR="00220A24" w:rsidRPr="00DE0CEE">
        <w:rPr>
          <w:rFonts w:cstheme="minorHAnsi"/>
          <w:b/>
          <w:sz w:val="24"/>
          <w:szCs w:val="24"/>
        </w:rPr>
        <w:t xml:space="preserve">dalšího </w:t>
      </w:r>
      <w:r w:rsidR="00192625" w:rsidRPr="00DE0CEE">
        <w:rPr>
          <w:rFonts w:cstheme="minorHAnsi"/>
          <w:b/>
          <w:sz w:val="24"/>
          <w:szCs w:val="24"/>
        </w:rPr>
        <w:t>neúčelného</w:t>
      </w:r>
      <w:r w:rsidR="00DE41F0">
        <w:rPr>
          <w:rFonts w:cstheme="minorHAnsi"/>
          <w:b/>
          <w:sz w:val="24"/>
          <w:szCs w:val="24"/>
        </w:rPr>
        <w:t xml:space="preserve"> a nehospodárného</w:t>
      </w:r>
      <w:r w:rsidR="00192625" w:rsidRPr="00DE0CEE">
        <w:rPr>
          <w:rFonts w:cstheme="minorHAnsi"/>
          <w:b/>
          <w:sz w:val="24"/>
          <w:szCs w:val="24"/>
        </w:rPr>
        <w:t xml:space="preserve"> vynakládání peněžních prostředků státu.</w:t>
      </w:r>
    </w:p>
    <w:p w14:paraId="32550C37" w14:textId="77777777" w:rsidR="001E6071" w:rsidRPr="00DE0CEE" w:rsidRDefault="001E6071" w:rsidP="001E6071">
      <w:pPr>
        <w:pStyle w:val="Odstavecseseznamem"/>
        <w:spacing w:after="0" w:line="252" w:lineRule="auto"/>
        <w:ind w:left="360"/>
        <w:jc w:val="both"/>
        <w:rPr>
          <w:rFonts w:eastAsia="Calibri" w:cstheme="minorHAnsi"/>
          <w:b/>
          <w:sz w:val="24"/>
          <w:szCs w:val="24"/>
        </w:rPr>
      </w:pPr>
    </w:p>
    <w:p w14:paraId="03C26716" w14:textId="77777777" w:rsidR="00CD520F" w:rsidRPr="00DE0CEE" w:rsidRDefault="00CD520F" w:rsidP="001E6071">
      <w:pPr>
        <w:pStyle w:val="Odstavecseseznamem"/>
        <w:spacing w:after="0" w:line="252" w:lineRule="auto"/>
        <w:ind w:left="360"/>
        <w:jc w:val="both"/>
        <w:rPr>
          <w:rFonts w:eastAsia="Calibri" w:cstheme="minorHAnsi"/>
          <w:b/>
          <w:sz w:val="24"/>
          <w:szCs w:val="24"/>
        </w:rPr>
      </w:pPr>
    </w:p>
    <w:bookmarkEnd w:id="10"/>
    <w:bookmarkEnd w:id="12"/>
    <w:p w14:paraId="53F966F2" w14:textId="77777777" w:rsidR="009962CB" w:rsidRPr="00DE0CEE" w:rsidRDefault="009962CB" w:rsidP="002025E9">
      <w:pPr>
        <w:pStyle w:val="Nadpis1"/>
        <w:tabs>
          <w:tab w:val="left" w:pos="2835"/>
        </w:tabs>
        <w:spacing w:before="0" w:after="120" w:line="252" w:lineRule="auto"/>
        <w:contextualSpacing/>
        <w:jc w:val="center"/>
        <w:rPr>
          <w:rFonts w:asciiTheme="minorHAnsi" w:hAnsiTheme="minorHAnsi" w:cstheme="minorHAnsi"/>
          <w:sz w:val="28"/>
          <w:szCs w:val="28"/>
        </w:rPr>
      </w:pPr>
      <w:r w:rsidRPr="00DE0CEE">
        <w:rPr>
          <w:rFonts w:asciiTheme="minorHAnsi" w:hAnsiTheme="minorHAnsi" w:cstheme="minorHAnsi"/>
          <w:sz w:val="28"/>
          <w:szCs w:val="28"/>
        </w:rPr>
        <w:t>II. Informace o kontrolované oblasti</w:t>
      </w:r>
    </w:p>
    <w:p w14:paraId="21EF3559" w14:textId="77777777" w:rsidR="00B57E3A" w:rsidRPr="00DE0CEE" w:rsidRDefault="00B57E3A" w:rsidP="002025E9">
      <w:pPr>
        <w:spacing w:after="120" w:line="252" w:lineRule="auto"/>
        <w:contextualSpacing/>
        <w:rPr>
          <w:rFonts w:cstheme="minorHAnsi"/>
          <w:sz w:val="24"/>
          <w:szCs w:val="24"/>
          <w:lang w:eastAsia="cs-CZ"/>
        </w:rPr>
      </w:pPr>
    </w:p>
    <w:p w14:paraId="70DE4C3B" w14:textId="77777777" w:rsidR="009962CB" w:rsidRPr="00DE0CEE" w:rsidRDefault="009962CB" w:rsidP="002C4E3B">
      <w:pPr>
        <w:spacing w:after="0" w:line="252" w:lineRule="auto"/>
        <w:contextualSpacing/>
        <w:jc w:val="both"/>
        <w:rPr>
          <w:rFonts w:cstheme="minorHAnsi"/>
          <w:sz w:val="24"/>
          <w:szCs w:val="24"/>
        </w:rPr>
      </w:pPr>
      <w:r w:rsidRPr="00DE0CEE">
        <w:rPr>
          <w:rFonts w:eastAsia="Arial Unicode MS" w:cstheme="minorHAnsi"/>
          <w:bCs/>
          <w:sz w:val="24"/>
          <w:szCs w:val="24"/>
        </w:rPr>
        <w:t>2.1 MD je ústředním orgánem státní správy ve věcech dopravy</w:t>
      </w:r>
      <w:r w:rsidR="005A50C3" w:rsidRPr="00DE0CEE">
        <w:rPr>
          <w:rFonts w:eastAsia="Arial Unicode MS" w:cstheme="minorHAnsi"/>
          <w:bCs/>
          <w:sz w:val="24"/>
          <w:szCs w:val="24"/>
        </w:rPr>
        <w:t>; je zodpověd</w:t>
      </w:r>
      <w:r w:rsidR="00500666" w:rsidRPr="00DE0CEE">
        <w:rPr>
          <w:rFonts w:eastAsia="Arial Unicode MS" w:cstheme="minorHAnsi"/>
          <w:bCs/>
          <w:sz w:val="24"/>
          <w:szCs w:val="24"/>
        </w:rPr>
        <w:t>né</w:t>
      </w:r>
      <w:r w:rsidRPr="00DE0CEE">
        <w:rPr>
          <w:rFonts w:eastAsia="Arial Unicode MS" w:cstheme="minorHAnsi"/>
          <w:bCs/>
          <w:sz w:val="24"/>
          <w:szCs w:val="24"/>
        </w:rPr>
        <w:t xml:space="preserve"> za tvorbu státní politiky v oblasti dopravy a v rozsahu své působnosti za její uskutečňování</w:t>
      </w:r>
      <w:r w:rsidRPr="00DE0CEE">
        <w:rPr>
          <w:rFonts w:cstheme="minorHAnsi"/>
          <w:sz w:val="24"/>
          <w:szCs w:val="24"/>
        </w:rPr>
        <w:t xml:space="preserve">. Zodpovídá mj. za problematiku </w:t>
      </w:r>
      <w:r w:rsidR="00C22DCB" w:rsidRPr="00DE0CEE">
        <w:rPr>
          <w:rFonts w:cstheme="minorHAnsi"/>
          <w:sz w:val="24"/>
          <w:szCs w:val="24"/>
        </w:rPr>
        <w:t>dopravní infrastruktury</w:t>
      </w:r>
      <w:r w:rsidR="00B03AD1" w:rsidRPr="00DE0CEE">
        <w:rPr>
          <w:rFonts w:cstheme="minorHAnsi"/>
          <w:sz w:val="24"/>
          <w:szCs w:val="24"/>
        </w:rPr>
        <w:t>,</w:t>
      </w:r>
      <w:r w:rsidR="00C22DCB" w:rsidRPr="00DE0CEE">
        <w:rPr>
          <w:rFonts w:cstheme="minorHAnsi"/>
          <w:sz w:val="24"/>
          <w:szCs w:val="24"/>
        </w:rPr>
        <w:t xml:space="preserve"> </w:t>
      </w:r>
      <w:r w:rsidRPr="00DE0CEE">
        <w:rPr>
          <w:rFonts w:cstheme="minorHAnsi"/>
          <w:sz w:val="24"/>
          <w:szCs w:val="24"/>
        </w:rPr>
        <w:t xml:space="preserve">bezpečnosti silničního provozu a za plnění úkolů, které resortu dopravy stanovila vláda České republiky. Má povinnost zkoumat společenskou problematiku v okruhu své působnosti, analyzovat dosahované výsledky a činit opatření </w:t>
      </w:r>
      <w:r w:rsidR="0028088D">
        <w:rPr>
          <w:rFonts w:cstheme="minorHAnsi"/>
          <w:sz w:val="24"/>
          <w:szCs w:val="24"/>
        </w:rPr>
        <w:br/>
      </w:r>
      <w:r w:rsidRPr="00DE0CEE">
        <w:rPr>
          <w:rFonts w:cstheme="minorHAnsi"/>
          <w:sz w:val="24"/>
          <w:szCs w:val="24"/>
        </w:rPr>
        <w:t>k řešení aktuálních otázek</w:t>
      </w:r>
      <w:r w:rsidRPr="00DE0CEE">
        <w:rPr>
          <w:rFonts w:eastAsia="Arial Unicode MS" w:cstheme="minorHAnsi"/>
          <w:bCs/>
          <w:sz w:val="24"/>
          <w:szCs w:val="24"/>
        </w:rPr>
        <w:t>.</w:t>
      </w:r>
      <w:r w:rsidRPr="00DE0CEE">
        <w:rPr>
          <w:rFonts w:cstheme="minorHAnsi"/>
          <w:sz w:val="24"/>
          <w:szCs w:val="24"/>
        </w:rPr>
        <w:t xml:space="preserve"> </w:t>
      </w:r>
      <w:r w:rsidR="001A05B8" w:rsidRPr="00DE0CEE">
        <w:rPr>
          <w:rFonts w:cstheme="minorHAnsi"/>
          <w:sz w:val="24"/>
          <w:szCs w:val="24"/>
        </w:rPr>
        <w:t>MD je zřizovatelem, resp. zakladatelem ŘSD.</w:t>
      </w:r>
    </w:p>
    <w:p w14:paraId="1B1F566B" w14:textId="77777777" w:rsidR="00F0088A" w:rsidRPr="00DE0CEE" w:rsidRDefault="00F0088A" w:rsidP="002C4E3B">
      <w:pPr>
        <w:spacing w:after="0" w:line="252" w:lineRule="auto"/>
        <w:contextualSpacing/>
        <w:jc w:val="both"/>
        <w:rPr>
          <w:rFonts w:cstheme="minorHAnsi"/>
          <w:sz w:val="24"/>
          <w:szCs w:val="24"/>
        </w:rPr>
      </w:pPr>
    </w:p>
    <w:p w14:paraId="1C42F867" w14:textId="43B321BC" w:rsidR="00CD21F1" w:rsidRPr="00DE0CEE" w:rsidRDefault="009962CB" w:rsidP="002C4E3B">
      <w:pPr>
        <w:spacing w:after="0" w:line="252" w:lineRule="auto"/>
        <w:contextualSpacing/>
        <w:jc w:val="both"/>
        <w:rPr>
          <w:rFonts w:cstheme="minorHAnsi"/>
          <w:sz w:val="24"/>
          <w:szCs w:val="24"/>
        </w:rPr>
      </w:pPr>
      <w:r w:rsidRPr="00DE0CEE">
        <w:rPr>
          <w:rFonts w:cstheme="minorHAnsi"/>
          <w:sz w:val="24"/>
          <w:szCs w:val="24"/>
        </w:rPr>
        <w:t xml:space="preserve">2.2 SFDI je </w:t>
      </w:r>
      <w:r w:rsidR="00190671" w:rsidRPr="00190671">
        <w:rPr>
          <w:rFonts w:cstheme="minorHAnsi"/>
          <w:sz w:val="24"/>
          <w:szCs w:val="24"/>
        </w:rPr>
        <w:t>státním fondem a</w:t>
      </w:r>
      <w:r w:rsidR="00190671" w:rsidRPr="00DE0CEE">
        <w:rPr>
          <w:rFonts w:cstheme="minorHAnsi"/>
          <w:sz w:val="24"/>
          <w:szCs w:val="24"/>
        </w:rPr>
        <w:t xml:space="preserve"> </w:t>
      </w:r>
      <w:r w:rsidRPr="00DE0CEE">
        <w:rPr>
          <w:rFonts w:cstheme="minorHAnsi"/>
          <w:sz w:val="24"/>
          <w:szCs w:val="24"/>
        </w:rPr>
        <w:t xml:space="preserve">právnickou osobou v působnosti MD. Účelem SFDI je mj. poskytování příspěvků na </w:t>
      </w:r>
      <w:r w:rsidR="00D6265E" w:rsidRPr="00DE0CEE">
        <w:rPr>
          <w:rFonts w:cstheme="minorHAnsi"/>
          <w:sz w:val="24"/>
          <w:szCs w:val="24"/>
        </w:rPr>
        <w:t>financování výstavby, modernizace, oprav, údržby nebo správy silnic nebo dálnic a na financování nákladů souvisejících s</w:t>
      </w:r>
      <w:r w:rsidR="0015730C" w:rsidRPr="00DE0CEE">
        <w:rPr>
          <w:rFonts w:cstheme="minorHAnsi"/>
          <w:sz w:val="24"/>
          <w:szCs w:val="24"/>
        </w:rPr>
        <w:t> </w:t>
      </w:r>
      <w:r w:rsidR="00D6265E" w:rsidRPr="00DE0CEE">
        <w:rPr>
          <w:rFonts w:cstheme="minorHAnsi"/>
          <w:sz w:val="24"/>
          <w:szCs w:val="24"/>
        </w:rPr>
        <w:t>pořízením</w:t>
      </w:r>
      <w:r w:rsidR="0015730C" w:rsidRPr="00DE0CEE">
        <w:rPr>
          <w:rFonts w:cstheme="minorHAnsi"/>
          <w:sz w:val="24"/>
          <w:szCs w:val="24"/>
        </w:rPr>
        <w:t xml:space="preserve"> a</w:t>
      </w:r>
      <w:r w:rsidR="00D6265E" w:rsidRPr="00DE0CEE">
        <w:rPr>
          <w:rFonts w:cstheme="minorHAnsi"/>
          <w:sz w:val="24"/>
          <w:szCs w:val="24"/>
        </w:rPr>
        <w:t xml:space="preserve"> provozem kontrolních vah na pozemních komunikacích ve vlastnictví státu</w:t>
      </w:r>
      <w:r w:rsidRPr="00DE0CEE">
        <w:rPr>
          <w:rFonts w:cstheme="minorHAnsi"/>
          <w:sz w:val="24"/>
          <w:szCs w:val="24"/>
        </w:rPr>
        <w:t xml:space="preserve">. </w:t>
      </w:r>
      <w:r w:rsidR="00B03AD1" w:rsidRPr="00DE0CEE">
        <w:rPr>
          <w:rFonts w:cstheme="minorHAnsi"/>
          <w:sz w:val="24"/>
          <w:szCs w:val="24"/>
        </w:rPr>
        <w:t>J</w:t>
      </w:r>
      <w:r w:rsidR="00CD21F1" w:rsidRPr="00DE0CEE">
        <w:rPr>
          <w:rFonts w:cstheme="minorHAnsi"/>
          <w:sz w:val="24"/>
          <w:szCs w:val="24"/>
        </w:rPr>
        <w:t>e příjemcem části výnosů z pokut uložených za přestupky zjištěné při kontrolním vážení provedeném na pozemních komunikacích ve vlastnictví státu</w:t>
      </w:r>
      <w:r w:rsidR="00EA3AB4">
        <w:rPr>
          <w:rFonts w:cstheme="minorHAnsi"/>
          <w:sz w:val="24"/>
          <w:szCs w:val="24"/>
        </w:rPr>
        <w:t>.</w:t>
      </w:r>
      <w:r w:rsidR="005E4AD6">
        <w:rPr>
          <w:rStyle w:val="Znakapoznpodarou"/>
          <w:rFonts w:cstheme="minorHAnsi"/>
          <w:sz w:val="24"/>
          <w:szCs w:val="24"/>
        </w:rPr>
        <w:footnoteReference w:id="16"/>
      </w:r>
    </w:p>
    <w:p w14:paraId="50403D5E" w14:textId="77777777" w:rsidR="007357A6" w:rsidRPr="00DE0CEE" w:rsidRDefault="007357A6" w:rsidP="002C4E3B">
      <w:pPr>
        <w:spacing w:after="0" w:line="252" w:lineRule="auto"/>
        <w:contextualSpacing/>
        <w:jc w:val="both"/>
        <w:rPr>
          <w:rFonts w:cstheme="minorHAnsi"/>
          <w:sz w:val="24"/>
          <w:szCs w:val="24"/>
        </w:rPr>
      </w:pPr>
    </w:p>
    <w:p w14:paraId="4B7F1098" w14:textId="5AC5085C" w:rsidR="009962CB" w:rsidRPr="00DE0CEE" w:rsidRDefault="009962CB" w:rsidP="002C4E3B">
      <w:pPr>
        <w:spacing w:after="0" w:line="252" w:lineRule="auto"/>
        <w:contextualSpacing/>
        <w:jc w:val="both"/>
        <w:rPr>
          <w:rFonts w:eastAsia="Arial Unicode MS" w:cstheme="minorHAnsi"/>
          <w:bCs/>
          <w:sz w:val="24"/>
          <w:szCs w:val="24"/>
        </w:rPr>
      </w:pPr>
      <w:r w:rsidRPr="00DE0CEE">
        <w:rPr>
          <w:rFonts w:cstheme="minorHAnsi"/>
          <w:sz w:val="24"/>
          <w:szCs w:val="24"/>
        </w:rPr>
        <w:t xml:space="preserve">2.3 </w:t>
      </w:r>
      <w:r w:rsidR="004A4456" w:rsidRPr="00DE0CEE">
        <w:rPr>
          <w:rFonts w:cstheme="minorHAnsi"/>
          <w:sz w:val="24"/>
          <w:szCs w:val="24"/>
        </w:rPr>
        <w:t>ŘSD</w:t>
      </w:r>
      <w:r w:rsidRPr="00DE0CEE">
        <w:rPr>
          <w:rFonts w:cstheme="minorHAnsi"/>
          <w:sz w:val="24"/>
          <w:szCs w:val="24"/>
        </w:rPr>
        <w:t xml:space="preserve"> </w:t>
      </w:r>
      <w:r w:rsidR="00CD21F1" w:rsidRPr="00DE0CEE">
        <w:rPr>
          <w:rFonts w:cstheme="minorHAnsi"/>
          <w:sz w:val="24"/>
          <w:szCs w:val="24"/>
        </w:rPr>
        <w:t>bylo do 31. prosince 2023 státní příspěvkovou organizací</w:t>
      </w:r>
      <w:r w:rsidR="00500666" w:rsidRPr="00DE0CEE">
        <w:rPr>
          <w:rFonts w:cstheme="minorHAnsi"/>
          <w:sz w:val="24"/>
          <w:szCs w:val="24"/>
        </w:rPr>
        <w:t xml:space="preserve"> a o</w:t>
      </w:r>
      <w:r w:rsidR="00CD21F1" w:rsidRPr="00DE0CEE">
        <w:rPr>
          <w:rFonts w:cstheme="minorHAnsi"/>
          <w:sz w:val="24"/>
          <w:szCs w:val="24"/>
        </w:rPr>
        <w:t>d 1. ledna 2024 je státním podnikem.</w:t>
      </w:r>
      <w:r w:rsidR="00D16559">
        <w:rPr>
          <w:rFonts w:cstheme="minorHAnsi"/>
          <w:sz w:val="24"/>
          <w:szCs w:val="24"/>
        </w:rPr>
        <w:t xml:space="preserve"> </w:t>
      </w:r>
      <w:r w:rsidR="00CD21F1" w:rsidRPr="00DE0CEE">
        <w:rPr>
          <w:rFonts w:cstheme="minorHAnsi"/>
          <w:sz w:val="24"/>
          <w:szCs w:val="24"/>
        </w:rPr>
        <w:t>Základním účelem a</w:t>
      </w:r>
      <w:r w:rsidR="00FE3686">
        <w:rPr>
          <w:rFonts w:cstheme="minorHAnsi"/>
          <w:sz w:val="24"/>
          <w:szCs w:val="24"/>
        </w:rPr>
        <w:t xml:space="preserve"> </w:t>
      </w:r>
      <w:r w:rsidR="00CD21F1" w:rsidRPr="00DE0CEE">
        <w:rPr>
          <w:rFonts w:cstheme="minorHAnsi"/>
          <w:sz w:val="24"/>
          <w:szCs w:val="24"/>
        </w:rPr>
        <w:t xml:space="preserve">předmětem </w:t>
      </w:r>
      <w:r w:rsidR="00500666" w:rsidRPr="00DE0CEE">
        <w:rPr>
          <w:rFonts w:cstheme="minorHAnsi"/>
          <w:sz w:val="24"/>
          <w:szCs w:val="24"/>
        </w:rPr>
        <w:t xml:space="preserve">jeho </w:t>
      </w:r>
      <w:r w:rsidR="00CD21F1" w:rsidRPr="00DE0CEE">
        <w:rPr>
          <w:rFonts w:cstheme="minorHAnsi"/>
          <w:sz w:val="24"/>
          <w:szCs w:val="24"/>
        </w:rPr>
        <w:t>činnosti je zajišťování výstavby, modernizace, správy, údržby a oprav dálnic a silnic I. třídy a jejich součástí a příslušenství</w:t>
      </w:r>
      <w:r w:rsidR="00CD21F1" w:rsidRPr="00DE0CEE">
        <w:rPr>
          <w:rFonts w:eastAsia="Arial Unicode MS" w:cstheme="minorHAnsi"/>
          <w:bCs/>
          <w:sz w:val="24"/>
          <w:szCs w:val="24"/>
        </w:rPr>
        <w:t>.</w:t>
      </w:r>
      <w:r w:rsidR="0092203B" w:rsidRPr="00DE0CEE">
        <w:rPr>
          <w:rFonts w:eastAsia="Arial Unicode MS" w:cstheme="minorHAnsi"/>
          <w:bCs/>
          <w:sz w:val="24"/>
          <w:szCs w:val="24"/>
        </w:rPr>
        <w:t xml:space="preserve"> </w:t>
      </w:r>
      <w:r w:rsidR="00FE3686">
        <w:rPr>
          <w:rFonts w:eastAsia="Arial Unicode MS" w:cstheme="minorHAnsi"/>
          <w:bCs/>
          <w:sz w:val="24"/>
          <w:szCs w:val="24"/>
        </w:rPr>
        <w:t xml:space="preserve">Ministerstvem </w:t>
      </w:r>
      <w:r w:rsidR="00FE3686">
        <w:rPr>
          <w:rFonts w:eastAsia="Arial Unicode MS" w:cstheme="minorHAnsi"/>
          <w:bCs/>
          <w:sz w:val="24"/>
          <w:szCs w:val="24"/>
        </w:rPr>
        <w:lastRenderedPageBreak/>
        <w:t xml:space="preserve">dopravy bylo </w:t>
      </w:r>
      <w:r w:rsidR="0092203B" w:rsidRPr="00DE0CEE">
        <w:rPr>
          <w:rFonts w:eastAsia="Arial Unicode MS" w:cstheme="minorHAnsi"/>
          <w:bCs/>
          <w:sz w:val="24"/>
          <w:szCs w:val="24"/>
        </w:rPr>
        <w:t xml:space="preserve">ŘSD pověřeno </w:t>
      </w:r>
      <w:r w:rsidR="00FE3686" w:rsidRPr="00DE0CEE">
        <w:rPr>
          <w:rFonts w:eastAsia="Arial Unicode MS" w:cstheme="minorHAnsi"/>
          <w:bCs/>
          <w:sz w:val="24"/>
          <w:szCs w:val="24"/>
        </w:rPr>
        <w:t xml:space="preserve">rovněž </w:t>
      </w:r>
      <w:r w:rsidR="0092203B" w:rsidRPr="00DE0CEE">
        <w:rPr>
          <w:rFonts w:eastAsia="Arial Unicode MS" w:cstheme="minorHAnsi"/>
          <w:bCs/>
          <w:sz w:val="24"/>
          <w:szCs w:val="24"/>
        </w:rPr>
        <w:t>výkonem činností souvisejících s</w:t>
      </w:r>
      <w:r w:rsidR="00FE3686">
        <w:rPr>
          <w:rFonts w:eastAsia="Arial Unicode MS" w:cstheme="minorHAnsi"/>
          <w:bCs/>
          <w:sz w:val="24"/>
          <w:szCs w:val="24"/>
        </w:rPr>
        <w:t xml:space="preserve"> </w:t>
      </w:r>
      <w:r w:rsidR="0092203B" w:rsidRPr="00DE0CEE">
        <w:rPr>
          <w:rFonts w:eastAsia="Arial Unicode MS" w:cstheme="minorHAnsi"/>
          <w:bCs/>
          <w:sz w:val="24"/>
          <w:szCs w:val="24"/>
        </w:rPr>
        <w:t>kontrolním vážením</w:t>
      </w:r>
      <w:r w:rsidR="00B03AD1" w:rsidRPr="00DE0CEE">
        <w:rPr>
          <w:rFonts w:eastAsia="Arial Unicode MS" w:cstheme="minorHAnsi"/>
          <w:bCs/>
          <w:sz w:val="24"/>
          <w:szCs w:val="24"/>
        </w:rPr>
        <w:t>,</w:t>
      </w:r>
      <w:r w:rsidR="0092203B" w:rsidRPr="00DE0CEE">
        <w:rPr>
          <w:rFonts w:eastAsia="Arial Unicode MS" w:cstheme="minorHAnsi"/>
          <w:bCs/>
          <w:sz w:val="24"/>
          <w:szCs w:val="24"/>
        </w:rPr>
        <w:t xml:space="preserve"> mj.</w:t>
      </w:r>
      <w:r w:rsidR="00FE3686">
        <w:rPr>
          <w:rFonts w:eastAsia="Arial Unicode MS" w:cstheme="minorHAnsi"/>
          <w:bCs/>
          <w:sz w:val="24"/>
          <w:szCs w:val="24"/>
        </w:rPr>
        <w:t> </w:t>
      </w:r>
      <w:r w:rsidR="00814AD9" w:rsidRPr="00DE0CEE">
        <w:rPr>
          <w:rFonts w:eastAsia="Arial Unicode MS" w:cstheme="minorHAnsi"/>
          <w:bCs/>
          <w:sz w:val="24"/>
          <w:szCs w:val="24"/>
        </w:rPr>
        <w:t xml:space="preserve">přímo </w:t>
      </w:r>
      <w:r w:rsidR="0092203B" w:rsidRPr="00DE0CEE">
        <w:rPr>
          <w:rFonts w:eastAsia="Arial Unicode MS" w:cstheme="minorHAnsi"/>
          <w:bCs/>
          <w:sz w:val="24"/>
          <w:szCs w:val="24"/>
        </w:rPr>
        <w:t xml:space="preserve">zodpovídá za pořizování a provoz zařízení pro </w:t>
      </w:r>
      <w:r w:rsidR="00D3355A" w:rsidRPr="00DE0CEE">
        <w:rPr>
          <w:rFonts w:eastAsia="Arial Unicode MS" w:cstheme="minorHAnsi"/>
          <w:bCs/>
          <w:sz w:val="24"/>
          <w:szCs w:val="24"/>
        </w:rPr>
        <w:t>VKV</w:t>
      </w:r>
      <w:r w:rsidR="0092203B" w:rsidRPr="00DE0CEE">
        <w:rPr>
          <w:rFonts w:eastAsia="Arial Unicode MS" w:cstheme="minorHAnsi"/>
          <w:bCs/>
          <w:sz w:val="24"/>
          <w:szCs w:val="24"/>
        </w:rPr>
        <w:t>.</w:t>
      </w:r>
    </w:p>
    <w:p w14:paraId="64AC8211" w14:textId="77777777" w:rsidR="00AA5E35" w:rsidRPr="00DE0CEE" w:rsidRDefault="00AA5E35" w:rsidP="002C4E3B">
      <w:pPr>
        <w:spacing w:after="0" w:line="252" w:lineRule="auto"/>
        <w:contextualSpacing/>
        <w:jc w:val="both"/>
        <w:rPr>
          <w:rFonts w:cstheme="minorHAnsi"/>
          <w:sz w:val="24"/>
          <w:szCs w:val="24"/>
        </w:rPr>
      </w:pPr>
    </w:p>
    <w:p w14:paraId="4906A0C4" w14:textId="203D2537" w:rsidR="0051166A" w:rsidRPr="00DE0CEE" w:rsidRDefault="00AA5E35" w:rsidP="002C4E3B">
      <w:pPr>
        <w:pStyle w:val="Textpoznpodarou"/>
        <w:spacing w:line="252" w:lineRule="auto"/>
        <w:contextualSpacing/>
        <w:jc w:val="both"/>
        <w:rPr>
          <w:rFonts w:cstheme="minorHAnsi"/>
          <w:sz w:val="24"/>
          <w:szCs w:val="24"/>
        </w:rPr>
      </w:pPr>
      <w:r w:rsidRPr="00DE0CEE">
        <w:rPr>
          <w:rFonts w:cstheme="minorHAnsi"/>
          <w:sz w:val="24"/>
          <w:szCs w:val="24"/>
        </w:rPr>
        <w:t xml:space="preserve">2.4 </w:t>
      </w:r>
      <w:bookmarkStart w:id="13" w:name="_Hlk187902083"/>
      <w:r w:rsidR="0051166A" w:rsidRPr="00DE0CEE">
        <w:rPr>
          <w:rFonts w:cstheme="minorHAnsi"/>
          <w:sz w:val="24"/>
          <w:szCs w:val="24"/>
        </w:rPr>
        <w:t xml:space="preserve">Zákon č. 361/2000 Sb. </w:t>
      </w:r>
      <w:r w:rsidR="005468FE" w:rsidRPr="005468FE">
        <w:rPr>
          <w:rFonts w:cstheme="minorHAnsi"/>
          <w:sz w:val="24"/>
          <w:szCs w:val="24"/>
        </w:rPr>
        <w:t xml:space="preserve">ukládá řidičům motorových vozidel výslovný zákaz </w:t>
      </w:r>
      <w:r w:rsidR="0051166A" w:rsidRPr="00DE0CEE">
        <w:rPr>
          <w:rFonts w:cstheme="minorHAnsi"/>
          <w:sz w:val="24"/>
          <w:szCs w:val="24"/>
        </w:rPr>
        <w:t xml:space="preserve">užít vozidlo </w:t>
      </w:r>
      <w:r w:rsidR="00FE3686">
        <w:rPr>
          <w:rFonts w:cstheme="minorHAnsi"/>
          <w:sz w:val="24"/>
          <w:szCs w:val="24"/>
        </w:rPr>
        <w:t xml:space="preserve">nebo </w:t>
      </w:r>
      <w:r w:rsidR="0051166A" w:rsidRPr="00DE0CEE">
        <w:rPr>
          <w:rFonts w:cstheme="minorHAnsi"/>
          <w:sz w:val="24"/>
          <w:szCs w:val="24"/>
        </w:rPr>
        <w:t>jízdní soupravu, jejichž hmotnost, rozměry včetně nákladu, rozložení hmotnosti na nápravy, skupiny náprav, kola nebo skupiny kol ohrožují bezpečnost silničního provozu nebo stav pozemní komunikace</w:t>
      </w:r>
      <w:r w:rsidR="00FE3686">
        <w:rPr>
          <w:rFonts w:cstheme="minorHAnsi"/>
          <w:sz w:val="24"/>
          <w:szCs w:val="24"/>
        </w:rPr>
        <w:t>,</w:t>
      </w:r>
      <w:r w:rsidR="005E4AD6">
        <w:rPr>
          <w:rStyle w:val="Znakapoznpodarou"/>
          <w:rFonts w:cstheme="minorHAnsi"/>
          <w:sz w:val="24"/>
          <w:szCs w:val="24"/>
        </w:rPr>
        <w:footnoteReference w:id="17"/>
      </w:r>
      <w:r w:rsidR="0051166A" w:rsidRPr="004459F3">
        <w:rPr>
          <w:rStyle w:val="Znakapoznpodarou"/>
          <w:rFonts w:cstheme="minorHAnsi"/>
          <w:vertAlign w:val="baseline"/>
        </w:rPr>
        <w:t xml:space="preserve"> </w:t>
      </w:r>
      <w:r w:rsidR="0051166A" w:rsidRPr="00DE0CEE">
        <w:rPr>
          <w:rFonts w:cstheme="minorHAnsi"/>
          <w:sz w:val="24"/>
          <w:szCs w:val="24"/>
        </w:rPr>
        <w:t>s výjimkou případů, kdy bylo příslušným úřadem vydáno povolení ke zvláštnímu užívání pozemní komunikace (tzv. nadměrný náklad)</w:t>
      </w:r>
      <w:r w:rsidR="0051166A" w:rsidRPr="00DE0CEE">
        <w:rPr>
          <w:rStyle w:val="Znakapoznpodarou"/>
          <w:rFonts w:cstheme="minorHAnsi"/>
        </w:rPr>
        <w:footnoteReference w:id="18"/>
      </w:r>
      <w:r w:rsidR="0051166A" w:rsidRPr="00DE0CEE">
        <w:rPr>
          <w:rFonts w:cstheme="minorHAnsi"/>
          <w:sz w:val="24"/>
          <w:szCs w:val="24"/>
        </w:rPr>
        <w:t>.</w:t>
      </w:r>
    </w:p>
    <w:p w14:paraId="1E5249D6" w14:textId="77777777" w:rsidR="0051166A" w:rsidRPr="00DE0CEE" w:rsidRDefault="0051166A" w:rsidP="002C4E3B">
      <w:pPr>
        <w:pStyle w:val="Textpoznpodarou"/>
        <w:spacing w:line="252" w:lineRule="auto"/>
        <w:contextualSpacing/>
        <w:jc w:val="both"/>
        <w:rPr>
          <w:rFonts w:cstheme="minorHAnsi"/>
          <w:sz w:val="24"/>
          <w:szCs w:val="24"/>
        </w:rPr>
      </w:pPr>
    </w:p>
    <w:p w14:paraId="55E746EC" w14:textId="0273B288" w:rsidR="00C15684" w:rsidRPr="00DE0CEE" w:rsidRDefault="0051166A" w:rsidP="002C4E3B">
      <w:pPr>
        <w:pStyle w:val="Textpoznpodarou"/>
        <w:spacing w:line="252" w:lineRule="auto"/>
        <w:contextualSpacing/>
        <w:jc w:val="both"/>
        <w:rPr>
          <w:rFonts w:cstheme="minorHAnsi"/>
          <w:sz w:val="24"/>
          <w:szCs w:val="24"/>
        </w:rPr>
      </w:pPr>
      <w:r w:rsidRPr="00DE0CEE">
        <w:rPr>
          <w:rFonts w:cstheme="minorHAnsi"/>
          <w:sz w:val="24"/>
          <w:szCs w:val="24"/>
        </w:rPr>
        <w:t xml:space="preserve">2.5 </w:t>
      </w:r>
      <w:r w:rsidR="00C15684" w:rsidRPr="00DE0CEE">
        <w:rPr>
          <w:rFonts w:cstheme="minorHAnsi"/>
          <w:sz w:val="24"/>
          <w:szCs w:val="24"/>
        </w:rPr>
        <w:t xml:space="preserve">Kontrolní vážení </w:t>
      </w:r>
      <w:bookmarkEnd w:id="13"/>
      <w:r w:rsidR="00C15684" w:rsidRPr="00DE0CEE">
        <w:rPr>
          <w:rFonts w:cstheme="minorHAnsi"/>
          <w:sz w:val="24"/>
          <w:szCs w:val="24"/>
        </w:rPr>
        <w:t xml:space="preserve">bylo </w:t>
      </w:r>
      <w:r w:rsidRPr="00DE0CEE">
        <w:rPr>
          <w:rFonts w:cstheme="minorHAnsi"/>
          <w:sz w:val="24"/>
          <w:szCs w:val="24"/>
        </w:rPr>
        <w:t>v</w:t>
      </w:r>
      <w:r w:rsidR="00FE3686">
        <w:rPr>
          <w:rFonts w:cstheme="minorHAnsi"/>
          <w:sz w:val="24"/>
          <w:szCs w:val="24"/>
        </w:rPr>
        <w:t xml:space="preserve"> </w:t>
      </w:r>
      <w:r w:rsidRPr="00DE0CEE">
        <w:rPr>
          <w:rFonts w:cstheme="minorHAnsi"/>
          <w:sz w:val="24"/>
          <w:szCs w:val="24"/>
        </w:rPr>
        <w:t xml:space="preserve">České republice zavedeno </w:t>
      </w:r>
      <w:r w:rsidR="00C15684" w:rsidRPr="00DE0CEE">
        <w:rPr>
          <w:rFonts w:cstheme="minorHAnsi"/>
          <w:sz w:val="24"/>
          <w:szCs w:val="24"/>
        </w:rPr>
        <w:t xml:space="preserve">novelou </w:t>
      </w:r>
      <w:r w:rsidRPr="00DE0CEE">
        <w:rPr>
          <w:rFonts w:cstheme="minorHAnsi"/>
          <w:sz w:val="24"/>
          <w:szCs w:val="24"/>
        </w:rPr>
        <w:t xml:space="preserve">zákona </w:t>
      </w:r>
      <w:r w:rsidR="00231397" w:rsidRPr="00DE0CEE">
        <w:rPr>
          <w:rFonts w:eastAsia="Calibri" w:cstheme="minorHAnsi"/>
          <w:sz w:val="24"/>
          <w:szCs w:val="24"/>
        </w:rPr>
        <w:t xml:space="preserve">č. 13/1997 Sb., </w:t>
      </w:r>
      <w:r w:rsidR="0028088D">
        <w:rPr>
          <w:rFonts w:eastAsia="Calibri" w:cstheme="minorHAnsi"/>
          <w:sz w:val="24"/>
          <w:szCs w:val="24"/>
        </w:rPr>
        <w:br/>
      </w:r>
      <w:r w:rsidR="00231397" w:rsidRPr="00DE0CEE">
        <w:rPr>
          <w:rFonts w:eastAsia="Calibri" w:cstheme="minorHAnsi"/>
          <w:sz w:val="24"/>
          <w:szCs w:val="24"/>
        </w:rPr>
        <w:t>o pozemních komunikacích (dále též „zákon o pozemních komunikacích“)</w:t>
      </w:r>
      <w:r w:rsidR="00FE3686">
        <w:rPr>
          <w:rFonts w:eastAsia="Calibri" w:cstheme="minorHAnsi"/>
          <w:sz w:val="24"/>
          <w:szCs w:val="24"/>
        </w:rPr>
        <w:t>,</w:t>
      </w:r>
      <w:r w:rsidRPr="00DE0CEE">
        <w:rPr>
          <w:rFonts w:cstheme="minorHAnsi"/>
          <w:sz w:val="24"/>
          <w:szCs w:val="24"/>
        </w:rPr>
        <w:t xml:space="preserve"> </w:t>
      </w:r>
      <w:r w:rsidR="00FE3686">
        <w:rPr>
          <w:rFonts w:cstheme="minorHAnsi"/>
          <w:sz w:val="24"/>
          <w:szCs w:val="24"/>
        </w:rPr>
        <w:t xml:space="preserve">a to </w:t>
      </w:r>
      <w:r w:rsidR="00C15684" w:rsidRPr="00DE0CEE">
        <w:rPr>
          <w:rFonts w:cstheme="minorHAnsi"/>
          <w:sz w:val="24"/>
          <w:szCs w:val="24"/>
        </w:rPr>
        <w:t xml:space="preserve">s účinností od </w:t>
      </w:r>
      <w:r w:rsidR="0028088D">
        <w:rPr>
          <w:rFonts w:cstheme="minorHAnsi"/>
          <w:sz w:val="24"/>
          <w:szCs w:val="24"/>
        </w:rPr>
        <w:br/>
      </w:r>
      <w:r w:rsidR="00C15684" w:rsidRPr="00DE0CEE">
        <w:rPr>
          <w:rFonts w:cstheme="minorHAnsi"/>
          <w:sz w:val="24"/>
          <w:szCs w:val="24"/>
        </w:rPr>
        <w:t>1. července 2000. Kontrolní vážení se provádí na dálnicích, silnicích a místních komunikacích u stanovených kategorií silničních motorových vozidel (mj. nákladní motorová vozidla kategorie N1 – s maximální hmotností do 3,5 tuny, N2 – s maximální hmotností od 3,5 tuny do 12 tun a N3 – s maximální hmotností nad 12 tun) nebo u jízdních souprav tvořených těmito vozidly. Rozsah a způsob provádění těchto vážení a náležitosti dokladů o jejich výsledcích stanoví prováděcí předpis</w:t>
      </w:r>
      <w:r w:rsidR="00C15684" w:rsidRPr="00DE0CEE">
        <w:rPr>
          <w:rStyle w:val="Znakapoznpodarou"/>
          <w:rFonts w:cstheme="minorHAnsi"/>
          <w:sz w:val="24"/>
          <w:szCs w:val="24"/>
        </w:rPr>
        <w:footnoteReference w:id="19"/>
      </w:r>
      <w:r w:rsidR="00C15684" w:rsidRPr="00DE0CEE">
        <w:rPr>
          <w:rFonts w:cstheme="minorHAnsi"/>
          <w:sz w:val="24"/>
          <w:szCs w:val="24"/>
        </w:rPr>
        <w:t>.</w:t>
      </w:r>
    </w:p>
    <w:p w14:paraId="24989DB5" w14:textId="77777777" w:rsidR="000C63D0" w:rsidRPr="00DE0CEE" w:rsidRDefault="000C63D0" w:rsidP="002C4E3B">
      <w:pPr>
        <w:pStyle w:val="Textpoznpodarou"/>
        <w:spacing w:line="252" w:lineRule="auto"/>
        <w:contextualSpacing/>
        <w:jc w:val="both"/>
        <w:rPr>
          <w:rFonts w:cstheme="minorHAnsi"/>
          <w:sz w:val="24"/>
          <w:szCs w:val="24"/>
        </w:rPr>
      </w:pPr>
    </w:p>
    <w:p w14:paraId="0DE6F7A8" w14:textId="65DFB752" w:rsidR="00D3355A" w:rsidRPr="00DE0CEE" w:rsidRDefault="000C63D0" w:rsidP="002C4E3B">
      <w:pPr>
        <w:spacing w:after="0" w:line="252" w:lineRule="auto"/>
        <w:contextualSpacing/>
        <w:jc w:val="both"/>
        <w:rPr>
          <w:rFonts w:cstheme="minorHAnsi"/>
          <w:sz w:val="24"/>
          <w:szCs w:val="24"/>
        </w:rPr>
      </w:pPr>
      <w:r w:rsidRPr="00DE0CEE">
        <w:rPr>
          <w:rFonts w:cstheme="minorHAnsi"/>
          <w:sz w:val="24"/>
          <w:szCs w:val="24"/>
        </w:rPr>
        <w:t>2.</w:t>
      </w:r>
      <w:r w:rsidR="00500666" w:rsidRPr="00DE0CEE">
        <w:rPr>
          <w:rFonts w:cstheme="minorHAnsi"/>
          <w:sz w:val="24"/>
          <w:szCs w:val="24"/>
        </w:rPr>
        <w:t>6</w:t>
      </w:r>
      <w:r w:rsidR="001E78A5" w:rsidRPr="00DE0CEE">
        <w:rPr>
          <w:rFonts w:cstheme="minorHAnsi"/>
          <w:sz w:val="24"/>
          <w:szCs w:val="24"/>
        </w:rPr>
        <w:t xml:space="preserve"> Vysokorychlostní kontrolní vážení bylo </w:t>
      </w:r>
      <w:r w:rsidR="0051166A" w:rsidRPr="00DE0CEE">
        <w:rPr>
          <w:rFonts w:cstheme="minorHAnsi"/>
          <w:sz w:val="24"/>
          <w:szCs w:val="24"/>
        </w:rPr>
        <w:t>v České republice zavedeno novelou zákona o</w:t>
      </w:r>
      <w:r w:rsidR="00FE3686">
        <w:rPr>
          <w:rFonts w:cstheme="minorHAnsi"/>
          <w:sz w:val="24"/>
          <w:szCs w:val="24"/>
        </w:rPr>
        <w:t> </w:t>
      </w:r>
      <w:r w:rsidR="0051166A" w:rsidRPr="00DE0CEE">
        <w:rPr>
          <w:rFonts w:cstheme="minorHAnsi"/>
          <w:sz w:val="24"/>
          <w:szCs w:val="24"/>
        </w:rPr>
        <w:t>pozemních komunikacích</w:t>
      </w:r>
      <w:r w:rsidR="00876145" w:rsidRPr="00DE0CEE">
        <w:rPr>
          <w:rFonts w:cstheme="minorHAnsi"/>
          <w:sz w:val="24"/>
          <w:szCs w:val="24"/>
        </w:rPr>
        <w:t xml:space="preserve"> </w:t>
      </w:r>
      <w:r w:rsidR="001E78A5" w:rsidRPr="00DE0CEE">
        <w:rPr>
          <w:rFonts w:cstheme="minorHAnsi"/>
          <w:sz w:val="24"/>
          <w:szCs w:val="24"/>
        </w:rPr>
        <w:t xml:space="preserve">s účinností od 1. ledna 2010. </w:t>
      </w:r>
      <w:r w:rsidR="00876145" w:rsidRPr="00DE0CEE">
        <w:rPr>
          <w:rFonts w:cstheme="minorHAnsi"/>
          <w:sz w:val="24"/>
          <w:szCs w:val="24"/>
        </w:rPr>
        <w:t>První váh</w:t>
      </w:r>
      <w:r w:rsidR="001337EB">
        <w:rPr>
          <w:rFonts w:cstheme="minorHAnsi"/>
          <w:sz w:val="24"/>
          <w:szCs w:val="24"/>
        </w:rPr>
        <w:t>u</w:t>
      </w:r>
      <w:r w:rsidR="00E13298" w:rsidRPr="00DE0CEE">
        <w:rPr>
          <w:rFonts w:cstheme="minorHAnsi"/>
          <w:sz w:val="24"/>
          <w:szCs w:val="24"/>
        </w:rPr>
        <w:t xml:space="preserve"> pro VKV</w:t>
      </w:r>
      <w:r w:rsidR="00876145" w:rsidRPr="00DE0CEE">
        <w:rPr>
          <w:rFonts w:cstheme="minorHAnsi"/>
          <w:sz w:val="24"/>
          <w:szCs w:val="24"/>
        </w:rPr>
        <w:t xml:space="preserve"> ovšem </w:t>
      </w:r>
      <w:r w:rsidR="001337EB">
        <w:rPr>
          <w:rFonts w:cstheme="minorHAnsi"/>
          <w:sz w:val="24"/>
          <w:szCs w:val="24"/>
        </w:rPr>
        <w:t>ŘSD</w:t>
      </w:r>
      <w:r w:rsidR="00876145" w:rsidRPr="00DE0CEE">
        <w:rPr>
          <w:rFonts w:cstheme="minorHAnsi"/>
          <w:sz w:val="24"/>
          <w:szCs w:val="24"/>
        </w:rPr>
        <w:t xml:space="preserve"> zprovozn</w:t>
      </w:r>
      <w:r w:rsidR="001337EB">
        <w:rPr>
          <w:rFonts w:cstheme="minorHAnsi"/>
          <w:sz w:val="24"/>
          <w:szCs w:val="24"/>
        </w:rPr>
        <w:t>ilo</w:t>
      </w:r>
      <w:r w:rsidR="00876145" w:rsidRPr="00DE0CEE">
        <w:rPr>
          <w:rFonts w:cstheme="minorHAnsi"/>
          <w:sz w:val="24"/>
          <w:szCs w:val="24"/>
        </w:rPr>
        <w:t xml:space="preserve"> až </w:t>
      </w:r>
      <w:r w:rsidR="00500666" w:rsidRPr="00DE0CEE">
        <w:rPr>
          <w:rFonts w:cstheme="minorHAnsi"/>
          <w:sz w:val="24"/>
          <w:szCs w:val="24"/>
        </w:rPr>
        <w:t xml:space="preserve">o deset let později </w:t>
      </w:r>
      <w:r w:rsidR="00876145" w:rsidRPr="00DE0CEE">
        <w:rPr>
          <w:rFonts w:cstheme="minorHAnsi"/>
          <w:sz w:val="24"/>
          <w:szCs w:val="24"/>
        </w:rPr>
        <w:t>v</w:t>
      </w:r>
      <w:r w:rsidR="00C14469">
        <w:rPr>
          <w:rFonts w:cstheme="minorHAnsi"/>
          <w:sz w:val="24"/>
          <w:szCs w:val="24"/>
        </w:rPr>
        <w:t xml:space="preserve"> </w:t>
      </w:r>
      <w:r w:rsidR="00876145" w:rsidRPr="00DE0CEE">
        <w:rPr>
          <w:rFonts w:cstheme="minorHAnsi"/>
          <w:sz w:val="24"/>
          <w:szCs w:val="24"/>
        </w:rPr>
        <w:t xml:space="preserve">lednu 2020. </w:t>
      </w:r>
      <w:r w:rsidR="001E78A5" w:rsidRPr="00DE0CEE">
        <w:rPr>
          <w:rFonts w:cstheme="minorHAnsi"/>
          <w:sz w:val="24"/>
          <w:szCs w:val="24"/>
        </w:rPr>
        <w:t xml:space="preserve">VKV se provádí nepřenosnými vysokorychlostními váhami </w:t>
      </w:r>
      <w:r w:rsidR="00500666" w:rsidRPr="00DE0CEE">
        <w:rPr>
          <w:rFonts w:cstheme="minorHAnsi"/>
          <w:sz w:val="24"/>
          <w:szCs w:val="24"/>
        </w:rPr>
        <w:t>zabudovanými přímo do vozovky</w:t>
      </w:r>
      <w:r w:rsidR="001E78A5" w:rsidRPr="00DE0CEE">
        <w:rPr>
          <w:rFonts w:cstheme="minorHAnsi"/>
          <w:sz w:val="24"/>
          <w:szCs w:val="24"/>
        </w:rPr>
        <w:t xml:space="preserve"> v míst</w:t>
      </w:r>
      <w:r w:rsidR="00D3355A" w:rsidRPr="00DE0CEE">
        <w:rPr>
          <w:rFonts w:cstheme="minorHAnsi"/>
          <w:sz w:val="24"/>
          <w:szCs w:val="24"/>
        </w:rPr>
        <w:t>ech</w:t>
      </w:r>
      <w:r w:rsidR="001E78A5" w:rsidRPr="00DE0CEE">
        <w:rPr>
          <w:rFonts w:cstheme="minorHAnsi"/>
          <w:sz w:val="24"/>
          <w:szCs w:val="24"/>
        </w:rPr>
        <w:t>, kter</w:t>
      </w:r>
      <w:r w:rsidR="00D3355A" w:rsidRPr="00DE0CEE">
        <w:rPr>
          <w:rFonts w:cstheme="minorHAnsi"/>
          <w:sz w:val="24"/>
          <w:szCs w:val="24"/>
        </w:rPr>
        <w:t>á</w:t>
      </w:r>
      <w:r w:rsidR="001E78A5" w:rsidRPr="00DE0CEE">
        <w:rPr>
          <w:rFonts w:cstheme="minorHAnsi"/>
          <w:sz w:val="24"/>
          <w:szCs w:val="24"/>
        </w:rPr>
        <w:t xml:space="preserve"> j</w:t>
      </w:r>
      <w:r w:rsidR="00D3355A" w:rsidRPr="00DE0CEE">
        <w:rPr>
          <w:rFonts w:cstheme="minorHAnsi"/>
          <w:sz w:val="24"/>
          <w:szCs w:val="24"/>
        </w:rPr>
        <w:t>sou</w:t>
      </w:r>
      <w:r w:rsidR="001E78A5" w:rsidRPr="00DE0CEE">
        <w:rPr>
          <w:rFonts w:cstheme="minorHAnsi"/>
          <w:sz w:val="24"/>
          <w:szCs w:val="24"/>
        </w:rPr>
        <w:t xml:space="preserve"> k tomu stavebně-technicky způsobil</w:t>
      </w:r>
      <w:r w:rsidR="00D3355A" w:rsidRPr="00DE0CEE">
        <w:rPr>
          <w:rFonts w:cstheme="minorHAnsi"/>
          <w:sz w:val="24"/>
          <w:szCs w:val="24"/>
        </w:rPr>
        <w:t>á</w:t>
      </w:r>
      <w:r w:rsidR="001E78A5" w:rsidRPr="00DE0CEE">
        <w:rPr>
          <w:rFonts w:cstheme="minorHAnsi"/>
          <w:sz w:val="24"/>
          <w:szCs w:val="24"/>
        </w:rPr>
        <w:t xml:space="preserve">. Při provádění VKV řidič vozidla nebo jízdní soupravy toto místo </w:t>
      </w:r>
      <w:proofErr w:type="gramStart"/>
      <w:r w:rsidR="001E78A5" w:rsidRPr="00DE0CEE">
        <w:rPr>
          <w:rFonts w:cstheme="minorHAnsi"/>
          <w:sz w:val="24"/>
          <w:szCs w:val="24"/>
        </w:rPr>
        <w:t>přejede</w:t>
      </w:r>
      <w:proofErr w:type="gramEnd"/>
      <w:r w:rsidR="001E78A5" w:rsidRPr="00DE0CEE">
        <w:rPr>
          <w:rFonts w:cstheme="minorHAnsi"/>
          <w:sz w:val="24"/>
          <w:szCs w:val="24"/>
        </w:rPr>
        <w:t xml:space="preserve"> a přitom je pořízen obrazový záznam vozidl</w:t>
      </w:r>
      <w:r w:rsidR="0051166A" w:rsidRPr="00DE0CEE">
        <w:rPr>
          <w:rFonts w:cstheme="minorHAnsi"/>
          <w:sz w:val="24"/>
          <w:szCs w:val="24"/>
        </w:rPr>
        <w:t>a.</w:t>
      </w:r>
      <w:r w:rsidR="001E78A5" w:rsidRPr="00DE0CEE">
        <w:rPr>
          <w:rFonts w:cstheme="minorHAnsi"/>
          <w:sz w:val="24"/>
          <w:szCs w:val="24"/>
        </w:rPr>
        <w:t xml:space="preserve"> </w:t>
      </w:r>
    </w:p>
    <w:p w14:paraId="70B7A5C5" w14:textId="77777777" w:rsidR="00D3355A" w:rsidRPr="00DE0CEE" w:rsidRDefault="00D3355A" w:rsidP="002C4E3B">
      <w:pPr>
        <w:spacing w:after="0" w:line="252" w:lineRule="auto"/>
        <w:contextualSpacing/>
        <w:jc w:val="both"/>
        <w:rPr>
          <w:rFonts w:cstheme="minorHAnsi"/>
          <w:sz w:val="24"/>
          <w:szCs w:val="24"/>
        </w:rPr>
      </w:pPr>
    </w:p>
    <w:p w14:paraId="505F6A2E" w14:textId="6B3831E9" w:rsidR="006C41E8" w:rsidRPr="00DE0CEE" w:rsidRDefault="0015730C" w:rsidP="002C4E3B">
      <w:pPr>
        <w:spacing w:after="0" w:line="252" w:lineRule="auto"/>
        <w:contextualSpacing/>
        <w:jc w:val="both"/>
        <w:rPr>
          <w:rFonts w:cstheme="minorHAnsi"/>
          <w:sz w:val="24"/>
          <w:szCs w:val="24"/>
        </w:rPr>
      </w:pPr>
      <w:r w:rsidRPr="00DE0CEE">
        <w:rPr>
          <w:rFonts w:cstheme="minorHAnsi"/>
          <w:sz w:val="24"/>
          <w:szCs w:val="24"/>
        </w:rPr>
        <w:t>2.</w:t>
      </w:r>
      <w:r w:rsidR="00500666" w:rsidRPr="00DE0CEE">
        <w:rPr>
          <w:rFonts w:cstheme="minorHAnsi"/>
          <w:sz w:val="24"/>
          <w:szCs w:val="24"/>
        </w:rPr>
        <w:t>7</w:t>
      </w:r>
      <w:r w:rsidRPr="00DE0CEE">
        <w:rPr>
          <w:rFonts w:cstheme="minorHAnsi"/>
          <w:sz w:val="24"/>
          <w:szCs w:val="24"/>
        </w:rPr>
        <w:t xml:space="preserve"> </w:t>
      </w:r>
      <w:r w:rsidR="001E78A5" w:rsidRPr="00DE0CEE">
        <w:rPr>
          <w:rFonts w:cstheme="minorHAnsi"/>
          <w:sz w:val="24"/>
          <w:szCs w:val="24"/>
        </w:rPr>
        <w:t xml:space="preserve">Vysokorychlostní váhy sestávají ze sady snímačů hmotnosti zapuštěných ve vozovce </w:t>
      </w:r>
      <w:r w:rsidR="0028088D">
        <w:rPr>
          <w:rFonts w:cstheme="minorHAnsi"/>
          <w:sz w:val="24"/>
          <w:szCs w:val="24"/>
        </w:rPr>
        <w:br/>
      </w:r>
      <w:r w:rsidR="001E78A5" w:rsidRPr="00DE0CEE">
        <w:rPr>
          <w:rFonts w:cstheme="minorHAnsi"/>
          <w:sz w:val="24"/>
          <w:szCs w:val="24"/>
        </w:rPr>
        <w:t>a propojených se silniční jednotkou umístěnou u okraje komunikace. Tato jednotka obsahuje měř</w:t>
      </w:r>
      <w:r w:rsidR="00FE3686">
        <w:rPr>
          <w:rFonts w:cstheme="minorHAnsi"/>
          <w:sz w:val="24"/>
          <w:szCs w:val="24"/>
        </w:rPr>
        <w:t>i</w:t>
      </w:r>
      <w:r w:rsidR="001E78A5" w:rsidRPr="00DE0CEE">
        <w:rPr>
          <w:rFonts w:cstheme="minorHAnsi"/>
          <w:sz w:val="24"/>
          <w:szCs w:val="24"/>
        </w:rPr>
        <w:t>cí a záznamovou elektroniku včetně datového úložiště a</w:t>
      </w:r>
      <w:r w:rsidR="00C14469">
        <w:rPr>
          <w:rFonts w:cstheme="minorHAnsi"/>
          <w:sz w:val="24"/>
          <w:szCs w:val="24"/>
        </w:rPr>
        <w:t xml:space="preserve"> </w:t>
      </w:r>
      <w:r w:rsidR="001E78A5" w:rsidRPr="00DE0CEE">
        <w:rPr>
          <w:rFonts w:cstheme="minorHAnsi"/>
          <w:sz w:val="24"/>
          <w:szCs w:val="24"/>
        </w:rPr>
        <w:t>komunikačního zařízení. Technická zařízení a jejich součásti určené k provádění VKV jsou příslušenstvím dálnice, silnice nebo</w:t>
      </w:r>
      <w:r w:rsidR="00C14469">
        <w:rPr>
          <w:rFonts w:cstheme="minorHAnsi"/>
          <w:sz w:val="24"/>
          <w:szCs w:val="24"/>
        </w:rPr>
        <w:t xml:space="preserve"> </w:t>
      </w:r>
      <w:r w:rsidR="001E78A5" w:rsidRPr="00DE0CEE">
        <w:rPr>
          <w:rFonts w:cstheme="minorHAnsi"/>
          <w:sz w:val="24"/>
          <w:szCs w:val="24"/>
        </w:rPr>
        <w:t xml:space="preserve">místní komunikace, na nichž jsou tato zařízení umístěna. </w:t>
      </w:r>
      <w:r w:rsidR="006C41E8" w:rsidRPr="00DE0CEE">
        <w:rPr>
          <w:rFonts w:cstheme="minorHAnsi"/>
          <w:sz w:val="24"/>
          <w:szCs w:val="24"/>
        </w:rPr>
        <w:t xml:space="preserve">Váha určená k provádění VKV musí splňovat metrologické a technické požadavky stanovené Českým metrologickým institutem </w:t>
      </w:r>
      <w:r w:rsidR="00FE3686">
        <w:rPr>
          <w:rFonts w:cstheme="minorHAnsi"/>
          <w:sz w:val="24"/>
          <w:szCs w:val="24"/>
        </w:rPr>
        <w:t xml:space="preserve">v </w:t>
      </w:r>
      <w:r w:rsidR="006C41E8" w:rsidRPr="00DE0CEE">
        <w:rPr>
          <w:rFonts w:cstheme="minorHAnsi"/>
          <w:sz w:val="24"/>
          <w:szCs w:val="24"/>
        </w:rPr>
        <w:t>tzv. opatření obecné povahy</w:t>
      </w:r>
      <w:r w:rsidR="006C41E8" w:rsidRPr="00DE0CEE">
        <w:rPr>
          <w:rStyle w:val="Znakapoznpodarou"/>
          <w:rFonts w:cstheme="minorHAnsi"/>
        </w:rPr>
        <w:footnoteReference w:id="20"/>
      </w:r>
      <w:r w:rsidR="00D76DF9" w:rsidRPr="00DE0CEE">
        <w:rPr>
          <w:rFonts w:cstheme="minorHAnsi"/>
          <w:sz w:val="24"/>
          <w:szCs w:val="24"/>
        </w:rPr>
        <w:t xml:space="preserve"> a musí být úředně ověřena</w:t>
      </w:r>
      <w:r w:rsidR="006C41E8" w:rsidRPr="00DE0CEE">
        <w:rPr>
          <w:rFonts w:cstheme="minorHAnsi"/>
          <w:sz w:val="24"/>
          <w:szCs w:val="24"/>
        </w:rPr>
        <w:t>.</w:t>
      </w:r>
    </w:p>
    <w:p w14:paraId="77794B09" w14:textId="77777777" w:rsidR="006C41E8" w:rsidRPr="00DE0CEE" w:rsidRDefault="006C41E8" w:rsidP="002C4E3B">
      <w:pPr>
        <w:spacing w:after="0" w:line="252" w:lineRule="auto"/>
        <w:contextualSpacing/>
        <w:jc w:val="both"/>
        <w:rPr>
          <w:rFonts w:cstheme="minorHAnsi"/>
          <w:color w:val="232323"/>
          <w:sz w:val="24"/>
          <w:szCs w:val="24"/>
          <w:shd w:val="clear" w:color="auto" w:fill="FFFFFF"/>
        </w:rPr>
      </w:pPr>
    </w:p>
    <w:p w14:paraId="0340A0CB" w14:textId="0C8A70A9" w:rsidR="001E78A5" w:rsidRPr="00DE0CEE" w:rsidRDefault="006C41E8" w:rsidP="002C4E3B">
      <w:pPr>
        <w:spacing w:after="0" w:line="252" w:lineRule="auto"/>
        <w:contextualSpacing/>
        <w:jc w:val="both"/>
        <w:rPr>
          <w:rFonts w:cstheme="minorHAnsi"/>
          <w:sz w:val="24"/>
          <w:szCs w:val="24"/>
        </w:rPr>
      </w:pPr>
      <w:r w:rsidRPr="00DE0CEE">
        <w:rPr>
          <w:rFonts w:cstheme="minorHAnsi"/>
          <w:sz w:val="24"/>
          <w:szCs w:val="24"/>
        </w:rPr>
        <w:t>2.</w:t>
      </w:r>
      <w:r w:rsidR="00500666" w:rsidRPr="00DE0CEE">
        <w:rPr>
          <w:rFonts w:cstheme="minorHAnsi"/>
          <w:sz w:val="24"/>
          <w:szCs w:val="24"/>
        </w:rPr>
        <w:t>8</w:t>
      </w:r>
      <w:r w:rsidRPr="00DE0CEE">
        <w:rPr>
          <w:rFonts w:cstheme="minorHAnsi"/>
          <w:sz w:val="24"/>
          <w:szCs w:val="24"/>
        </w:rPr>
        <w:t xml:space="preserve"> </w:t>
      </w:r>
      <w:r w:rsidR="001E78A5" w:rsidRPr="00DE0CEE">
        <w:rPr>
          <w:rFonts w:cstheme="minorHAnsi"/>
          <w:color w:val="232323"/>
          <w:sz w:val="24"/>
          <w:szCs w:val="24"/>
          <w:shd w:val="clear" w:color="auto" w:fill="FFFFFF"/>
        </w:rPr>
        <w:t>Zjistí-li se při VKV</w:t>
      </w:r>
      <w:r w:rsidR="00FE3686">
        <w:rPr>
          <w:rFonts w:cstheme="minorHAnsi"/>
          <w:color w:val="232323"/>
          <w:sz w:val="24"/>
          <w:szCs w:val="24"/>
          <w:shd w:val="clear" w:color="auto" w:fill="FFFFFF"/>
        </w:rPr>
        <w:t xml:space="preserve"> </w:t>
      </w:r>
      <w:r w:rsidR="001E78A5" w:rsidRPr="00DE0CEE">
        <w:rPr>
          <w:rFonts w:cstheme="minorHAnsi"/>
          <w:color w:val="232323"/>
          <w:sz w:val="24"/>
          <w:szCs w:val="24"/>
          <w:shd w:val="clear" w:color="auto" w:fill="FFFFFF"/>
        </w:rPr>
        <w:t>nedodržení hodnot nebo podmínek stanovených</w:t>
      </w:r>
      <w:r w:rsidR="00FE3686">
        <w:rPr>
          <w:rFonts w:cstheme="minorHAnsi"/>
          <w:color w:val="232323"/>
          <w:sz w:val="24"/>
          <w:szCs w:val="24"/>
          <w:shd w:val="clear" w:color="auto" w:fill="FFFFFF"/>
        </w:rPr>
        <w:t xml:space="preserve"> </w:t>
      </w:r>
      <w:r w:rsidR="001E78A5" w:rsidRPr="00DE0CEE">
        <w:rPr>
          <w:rFonts w:cstheme="minorHAnsi"/>
          <w:sz w:val="24"/>
          <w:szCs w:val="24"/>
        </w:rPr>
        <w:t>zákonem č.</w:t>
      </w:r>
      <w:r w:rsidR="00FE3686">
        <w:rPr>
          <w:rFonts w:cstheme="minorHAnsi"/>
          <w:sz w:val="24"/>
          <w:szCs w:val="24"/>
        </w:rPr>
        <w:t> </w:t>
      </w:r>
      <w:r w:rsidR="001E78A5" w:rsidRPr="00DE0CEE">
        <w:rPr>
          <w:rFonts w:cstheme="minorHAnsi"/>
          <w:sz w:val="24"/>
          <w:szCs w:val="24"/>
        </w:rPr>
        <w:t>361/2000</w:t>
      </w:r>
      <w:r w:rsidR="00FE3686">
        <w:rPr>
          <w:rFonts w:cstheme="minorHAnsi"/>
          <w:sz w:val="24"/>
          <w:szCs w:val="24"/>
        </w:rPr>
        <w:t> </w:t>
      </w:r>
      <w:r w:rsidR="001E78A5" w:rsidRPr="00DE0CEE">
        <w:rPr>
          <w:rFonts w:cstheme="minorHAnsi"/>
          <w:sz w:val="24"/>
          <w:szCs w:val="24"/>
        </w:rPr>
        <w:t xml:space="preserve">Sb., </w:t>
      </w:r>
      <w:r w:rsidR="001E78A5" w:rsidRPr="00DE0CEE">
        <w:rPr>
          <w:rFonts w:cstheme="minorHAnsi"/>
          <w:color w:val="232323"/>
          <w:sz w:val="24"/>
          <w:szCs w:val="24"/>
          <w:shd w:val="clear" w:color="auto" w:fill="FFFFFF"/>
        </w:rPr>
        <w:t xml:space="preserve">vystaví vlastník pozemní komunikace, nebo jím pověřená osoba zajišťující VKV, vážní lístek, který doručí obecnímu úřadu </w:t>
      </w:r>
      <w:r w:rsidR="00B93EEF" w:rsidRPr="00DE0CEE">
        <w:rPr>
          <w:rFonts w:cstheme="minorHAnsi"/>
          <w:color w:val="232323"/>
          <w:sz w:val="24"/>
          <w:szCs w:val="24"/>
          <w:shd w:val="clear" w:color="auto" w:fill="FFFFFF"/>
        </w:rPr>
        <w:t>ORP</w:t>
      </w:r>
      <w:r w:rsidR="001E78A5" w:rsidRPr="00DE0CEE">
        <w:rPr>
          <w:rFonts w:cstheme="minorHAnsi"/>
          <w:color w:val="232323"/>
          <w:sz w:val="24"/>
          <w:szCs w:val="24"/>
          <w:shd w:val="clear" w:color="auto" w:fill="FFFFFF"/>
        </w:rPr>
        <w:t xml:space="preserve">, v jehož správním obvodu bylo VKV provedeno. Na základě vážního lístku vystaví </w:t>
      </w:r>
      <w:r w:rsidR="00FE3686" w:rsidRPr="00DE0CEE">
        <w:rPr>
          <w:rFonts w:cstheme="minorHAnsi"/>
          <w:color w:val="232323"/>
          <w:sz w:val="24"/>
          <w:szCs w:val="24"/>
          <w:shd w:val="clear" w:color="auto" w:fill="FFFFFF"/>
        </w:rPr>
        <w:t xml:space="preserve">ORP </w:t>
      </w:r>
      <w:r w:rsidR="001E78A5" w:rsidRPr="00DE0CEE">
        <w:rPr>
          <w:rFonts w:cstheme="minorHAnsi"/>
          <w:color w:val="232323"/>
          <w:sz w:val="24"/>
          <w:szCs w:val="24"/>
          <w:shd w:val="clear" w:color="auto" w:fill="FFFFFF"/>
        </w:rPr>
        <w:t>doklad, který doručí provozovateli vozidla spolu s oznámením o zahájení řízení o přestupku.</w:t>
      </w:r>
    </w:p>
    <w:p w14:paraId="61653D6C" w14:textId="77777777" w:rsidR="00EC34BE" w:rsidRPr="00DE0CEE" w:rsidRDefault="00EC34BE" w:rsidP="002C4E3B">
      <w:pPr>
        <w:spacing w:after="0" w:line="252" w:lineRule="auto"/>
        <w:contextualSpacing/>
        <w:jc w:val="both"/>
        <w:rPr>
          <w:rFonts w:cstheme="minorHAnsi"/>
          <w:sz w:val="24"/>
          <w:szCs w:val="24"/>
        </w:rPr>
      </w:pPr>
    </w:p>
    <w:p w14:paraId="03F2427D" w14:textId="110F2C92" w:rsidR="006C41E8" w:rsidRPr="00DE0CEE" w:rsidRDefault="006C41E8" w:rsidP="002C4E3B">
      <w:pPr>
        <w:spacing w:after="0" w:line="252" w:lineRule="auto"/>
        <w:contextualSpacing/>
        <w:jc w:val="both"/>
        <w:rPr>
          <w:rFonts w:cstheme="minorHAnsi"/>
          <w:sz w:val="24"/>
          <w:szCs w:val="24"/>
        </w:rPr>
      </w:pPr>
      <w:r w:rsidRPr="00DE0CEE">
        <w:rPr>
          <w:rFonts w:cstheme="minorHAnsi"/>
          <w:sz w:val="24"/>
          <w:szCs w:val="24"/>
        </w:rPr>
        <w:lastRenderedPageBreak/>
        <w:t>2.</w:t>
      </w:r>
      <w:r w:rsidR="00500666" w:rsidRPr="00DE0CEE">
        <w:rPr>
          <w:rFonts w:cstheme="minorHAnsi"/>
          <w:sz w:val="24"/>
          <w:szCs w:val="24"/>
        </w:rPr>
        <w:t>9</w:t>
      </w:r>
      <w:r w:rsidRPr="00DE0CEE">
        <w:rPr>
          <w:rFonts w:cstheme="minorHAnsi"/>
          <w:sz w:val="24"/>
          <w:szCs w:val="24"/>
        </w:rPr>
        <w:t xml:space="preserve"> </w:t>
      </w:r>
      <w:proofErr w:type="spellStart"/>
      <w:r w:rsidRPr="00DE0CEE">
        <w:rPr>
          <w:rFonts w:cstheme="minorHAnsi"/>
          <w:sz w:val="24"/>
          <w:szCs w:val="24"/>
        </w:rPr>
        <w:t>Nízkorychlostní</w:t>
      </w:r>
      <w:proofErr w:type="spellEnd"/>
      <w:r w:rsidRPr="00DE0CEE">
        <w:rPr>
          <w:rFonts w:cstheme="minorHAnsi"/>
          <w:sz w:val="24"/>
          <w:szCs w:val="24"/>
        </w:rPr>
        <w:t xml:space="preserve"> kontrolní vážení </w:t>
      </w:r>
      <w:r w:rsidR="007162D7" w:rsidRPr="00DE0CEE">
        <w:rPr>
          <w:rFonts w:cstheme="minorHAnsi"/>
          <w:sz w:val="24"/>
          <w:szCs w:val="24"/>
        </w:rPr>
        <w:t>představuje</w:t>
      </w:r>
      <w:r w:rsidRPr="00DE0CEE">
        <w:rPr>
          <w:rFonts w:cstheme="minorHAnsi"/>
          <w:sz w:val="24"/>
          <w:szCs w:val="24"/>
        </w:rPr>
        <w:t xml:space="preserve"> podle </w:t>
      </w:r>
      <w:r w:rsidR="00876145" w:rsidRPr="00DE0CEE">
        <w:rPr>
          <w:rFonts w:cstheme="minorHAnsi"/>
          <w:sz w:val="24"/>
          <w:szCs w:val="24"/>
        </w:rPr>
        <w:t>zákona o pozemních komunikacích</w:t>
      </w:r>
      <w:r w:rsidRPr="00DE0CEE">
        <w:rPr>
          <w:rFonts w:cstheme="minorHAnsi"/>
          <w:sz w:val="24"/>
          <w:szCs w:val="24"/>
        </w:rPr>
        <w:t xml:space="preserve"> provádění kontrolního vážení všemi jinými technickými zařízeními než váhami </w:t>
      </w:r>
      <w:r w:rsidR="00B5490C" w:rsidRPr="00DE0CEE">
        <w:rPr>
          <w:rFonts w:cstheme="minorHAnsi"/>
          <w:sz w:val="24"/>
          <w:szCs w:val="24"/>
        </w:rPr>
        <w:t xml:space="preserve">pro </w:t>
      </w:r>
      <w:r w:rsidRPr="00DE0CEE">
        <w:rPr>
          <w:rFonts w:cstheme="minorHAnsi"/>
          <w:sz w:val="24"/>
          <w:szCs w:val="24"/>
        </w:rPr>
        <w:t>VKV</w:t>
      </w:r>
      <w:r w:rsidR="00814AD9" w:rsidRPr="00DE0CEE">
        <w:rPr>
          <w:rFonts w:cstheme="minorHAnsi"/>
          <w:sz w:val="24"/>
          <w:szCs w:val="24"/>
        </w:rPr>
        <w:t>. Na rozdíl od VKV při NKV</w:t>
      </w:r>
      <w:r w:rsidRPr="00DE0CEE">
        <w:rPr>
          <w:rFonts w:cstheme="minorHAnsi"/>
          <w:sz w:val="24"/>
          <w:szCs w:val="24"/>
        </w:rPr>
        <w:t xml:space="preserve"> dochází k odklonění vozidla z provozu. Zajížďka k technickému zařízení pro NKV včetně cesty zpět nesmí být delší než 16 k</w:t>
      </w:r>
      <w:r w:rsidR="00876145" w:rsidRPr="00DE0CEE">
        <w:rPr>
          <w:rFonts w:cstheme="minorHAnsi"/>
          <w:sz w:val="24"/>
          <w:szCs w:val="24"/>
        </w:rPr>
        <w:t>m.</w:t>
      </w:r>
      <w:r w:rsidRPr="00DE0CEE">
        <w:rPr>
          <w:rFonts w:cstheme="minorHAnsi"/>
          <w:sz w:val="24"/>
          <w:szCs w:val="24"/>
        </w:rPr>
        <w:t xml:space="preserve"> NKV se provádí většinou na vyhrazeném místě tvořeném rovnou a hladkou plochou delší než 30 m a při rychlosti nižší než 5 až 16 km/h tak, aby se eliminovaly dynamické účinky vozidla. NKV může být prováděno pomocí stacionárních vah pevně zabudovaných do vozovky nebo mobilními přenosnými váhami. Váhy pro NKV musí být obdobně jako váhy pro VKV </w:t>
      </w:r>
      <w:r w:rsidR="00D76DF9" w:rsidRPr="00DE0CEE">
        <w:rPr>
          <w:rFonts w:cstheme="minorHAnsi"/>
          <w:sz w:val="24"/>
          <w:szCs w:val="24"/>
        </w:rPr>
        <w:t>úředně ověře</w:t>
      </w:r>
      <w:r w:rsidRPr="00DE0CEE">
        <w:rPr>
          <w:rFonts w:cstheme="minorHAnsi"/>
          <w:sz w:val="24"/>
          <w:szCs w:val="24"/>
        </w:rPr>
        <w:t>ny a používány předepsaným způsobem.</w:t>
      </w:r>
    </w:p>
    <w:p w14:paraId="7FED6F40" w14:textId="77777777" w:rsidR="006C41E8" w:rsidRDefault="006C41E8" w:rsidP="002C4E3B">
      <w:pPr>
        <w:spacing w:after="0" w:line="252" w:lineRule="auto"/>
        <w:contextualSpacing/>
        <w:jc w:val="both"/>
        <w:rPr>
          <w:rFonts w:cstheme="minorHAnsi"/>
          <w:sz w:val="24"/>
          <w:szCs w:val="24"/>
        </w:rPr>
      </w:pPr>
    </w:p>
    <w:p w14:paraId="52D1F325" w14:textId="63623E14" w:rsidR="006C41E8" w:rsidRPr="00DE0CEE" w:rsidRDefault="006C41E8" w:rsidP="002C4E3B">
      <w:pPr>
        <w:spacing w:after="0" w:line="252" w:lineRule="auto"/>
        <w:contextualSpacing/>
        <w:jc w:val="both"/>
        <w:rPr>
          <w:rFonts w:cstheme="minorHAnsi"/>
          <w:sz w:val="24"/>
          <w:szCs w:val="24"/>
        </w:rPr>
      </w:pPr>
      <w:r w:rsidRPr="00DE0CEE">
        <w:rPr>
          <w:rFonts w:cstheme="minorHAnsi"/>
          <w:sz w:val="24"/>
          <w:szCs w:val="24"/>
        </w:rPr>
        <w:t>2.</w:t>
      </w:r>
      <w:r w:rsidR="00500666" w:rsidRPr="00DE0CEE">
        <w:rPr>
          <w:rFonts w:cstheme="minorHAnsi"/>
          <w:sz w:val="24"/>
          <w:szCs w:val="24"/>
        </w:rPr>
        <w:t>10</w:t>
      </w:r>
      <w:r w:rsidRPr="00DE0CEE">
        <w:rPr>
          <w:rFonts w:cstheme="minorHAnsi"/>
          <w:sz w:val="24"/>
          <w:szCs w:val="24"/>
        </w:rPr>
        <w:t xml:space="preserve"> NKV zajišťuje v součinnosti s Policií </w:t>
      </w:r>
      <w:r w:rsidR="00D3355A" w:rsidRPr="00DE0CEE">
        <w:rPr>
          <w:rFonts w:cstheme="minorHAnsi"/>
          <w:sz w:val="24"/>
          <w:szCs w:val="24"/>
        </w:rPr>
        <w:t>České republiky</w:t>
      </w:r>
      <w:r w:rsidRPr="00DE0CEE">
        <w:rPr>
          <w:rFonts w:cstheme="minorHAnsi"/>
          <w:sz w:val="24"/>
          <w:szCs w:val="24"/>
        </w:rPr>
        <w:t xml:space="preserve"> nebo s celními úřady vlastník pozemní komunikace nebo jím pověřená osoba, </w:t>
      </w:r>
      <w:r w:rsidR="00433F72">
        <w:rPr>
          <w:rFonts w:cstheme="minorHAnsi"/>
          <w:sz w:val="24"/>
          <w:szCs w:val="24"/>
        </w:rPr>
        <w:t>příp.</w:t>
      </w:r>
      <w:r w:rsidRPr="00DE0CEE">
        <w:rPr>
          <w:rFonts w:cstheme="minorHAnsi"/>
          <w:sz w:val="24"/>
          <w:szCs w:val="24"/>
        </w:rPr>
        <w:t xml:space="preserve"> </w:t>
      </w:r>
      <w:r w:rsidR="00433F72">
        <w:rPr>
          <w:rFonts w:cstheme="minorHAnsi"/>
          <w:sz w:val="24"/>
          <w:szCs w:val="24"/>
        </w:rPr>
        <w:t>ho</w:t>
      </w:r>
      <w:r w:rsidRPr="00DE0CEE">
        <w:rPr>
          <w:rFonts w:cstheme="minorHAnsi"/>
          <w:sz w:val="24"/>
          <w:szCs w:val="24"/>
        </w:rPr>
        <w:t xml:space="preserve"> provádí Policie </w:t>
      </w:r>
      <w:r w:rsidR="00B93EEF" w:rsidRPr="00DE0CEE">
        <w:rPr>
          <w:rFonts w:cstheme="minorHAnsi"/>
          <w:sz w:val="24"/>
          <w:szCs w:val="24"/>
        </w:rPr>
        <w:t>České republiky</w:t>
      </w:r>
      <w:r w:rsidRPr="00DE0CEE">
        <w:rPr>
          <w:rFonts w:cstheme="minorHAnsi"/>
          <w:sz w:val="24"/>
          <w:szCs w:val="24"/>
        </w:rPr>
        <w:t xml:space="preserve"> nebo celní úřady samostatně. </w:t>
      </w:r>
      <w:r w:rsidR="00433F72">
        <w:rPr>
          <w:rFonts w:cstheme="minorHAnsi"/>
          <w:sz w:val="24"/>
          <w:szCs w:val="24"/>
        </w:rPr>
        <w:t>Nová</w:t>
      </w:r>
      <w:r w:rsidR="00876145" w:rsidRPr="00DE0CEE">
        <w:rPr>
          <w:rFonts w:cstheme="minorHAnsi"/>
          <w:sz w:val="24"/>
          <w:szCs w:val="24"/>
        </w:rPr>
        <w:t xml:space="preserve"> právní úprav</w:t>
      </w:r>
      <w:r w:rsidR="00433F72">
        <w:rPr>
          <w:rFonts w:cstheme="minorHAnsi"/>
          <w:sz w:val="24"/>
          <w:szCs w:val="24"/>
        </w:rPr>
        <w:t>a</w:t>
      </w:r>
      <w:r w:rsidRPr="00DE0CEE">
        <w:rPr>
          <w:rFonts w:cstheme="minorHAnsi"/>
          <w:sz w:val="24"/>
          <w:szCs w:val="24"/>
        </w:rPr>
        <w:t xml:space="preserve"> navržená MD, která přináší změny v</w:t>
      </w:r>
      <w:r w:rsidR="00C60751">
        <w:rPr>
          <w:rFonts w:cstheme="minorHAnsi"/>
          <w:sz w:val="24"/>
          <w:szCs w:val="24"/>
        </w:rPr>
        <w:t xml:space="preserve"> </w:t>
      </w:r>
      <w:r w:rsidRPr="00DE0CEE">
        <w:rPr>
          <w:rFonts w:cstheme="minorHAnsi"/>
          <w:sz w:val="24"/>
          <w:szCs w:val="24"/>
        </w:rPr>
        <w:t xml:space="preserve">této oblasti v souvislosti s připravovanou transformací CSPSD na Inspekci silniční dopravy, nebyla do ukončení kontroly NKÚ schválena Parlamentem </w:t>
      </w:r>
      <w:r w:rsidR="00B93EEF" w:rsidRPr="00DE0CEE">
        <w:rPr>
          <w:rFonts w:cstheme="minorHAnsi"/>
          <w:sz w:val="24"/>
          <w:szCs w:val="24"/>
        </w:rPr>
        <w:t>České republiky</w:t>
      </w:r>
      <w:r w:rsidRPr="00DE0CEE">
        <w:rPr>
          <w:rFonts w:cstheme="minorHAnsi"/>
          <w:sz w:val="24"/>
          <w:szCs w:val="24"/>
        </w:rPr>
        <w:t>.</w:t>
      </w:r>
    </w:p>
    <w:p w14:paraId="5B69A6E2" w14:textId="77777777" w:rsidR="006C41E8" w:rsidRPr="00DE0CEE" w:rsidRDefault="006C41E8" w:rsidP="002C4E3B">
      <w:pPr>
        <w:spacing w:after="0" w:line="252" w:lineRule="auto"/>
        <w:contextualSpacing/>
        <w:jc w:val="both"/>
        <w:rPr>
          <w:rFonts w:cstheme="minorHAnsi"/>
          <w:sz w:val="24"/>
          <w:szCs w:val="24"/>
        </w:rPr>
      </w:pPr>
    </w:p>
    <w:p w14:paraId="7F342123" w14:textId="1BCB638F" w:rsidR="006C41E8" w:rsidRPr="00DE0CEE" w:rsidRDefault="006C41E8" w:rsidP="002C4E3B">
      <w:pPr>
        <w:spacing w:after="0" w:line="252" w:lineRule="auto"/>
        <w:contextualSpacing/>
        <w:jc w:val="both"/>
        <w:rPr>
          <w:rFonts w:cstheme="minorHAnsi"/>
          <w:sz w:val="24"/>
          <w:szCs w:val="24"/>
        </w:rPr>
      </w:pPr>
      <w:r w:rsidRPr="00DE0CEE">
        <w:rPr>
          <w:rFonts w:cstheme="minorHAnsi"/>
          <w:sz w:val="24"/>
          <w:szCs w:val="24"/>
        </w:rPr>
        <w:t>2.</w:t>
      </w:r>
      <w:r w:rsidR="00043B81" w:rsidRPr="00DE0CEE">
        <w:rPr>
          <w:rFonts w:cstheme="minorHAnsi"/>
          <w:sz w:val="24"/>
          <w:szCs w:val="24"/>
        </w:rPr>
        <w:t>1</w:t>
      </w:r>
      <w:r w:rsidR="00500666" w:rsidRPr="00DE0CEE">
        <w:rPr>
          <w:rFonts w:cstheme="minorHAnsi"/>
          <w:sz w:val="24"/>
          <w:szCs w:val="24"/>
        </w:rPr>
        <w:t>1</w:t>
      </w:r>
      <w:r w:rsidRPr="00DE0CEE">
        <w:rPr>
          <w:rFonts w:cstheme="minorHAnsi"/>
          <w:sz w:val="24"/>
          <w:szCs w:val="24"/>
        </w:rPr>
        <w:t xml:space="preserve"> O výsledku NKV vydá osoba obsluhující zařízení NKV řidiči doklad, který </w:t>
      </w:r>
      <w:r w:rsidR="00433F72" w:rsidRPr="00DE0CEE">
        <w:rPr>
          <w:rFonts w:cstheme="minorHAnsi"/>
          <w:sz w:val="24"/>
          <w:szCs w:val="24"/>
        </w:rPr>
        <w:t xml:space="preserve">zašle </w:t>
      </w:r>
      <w:r w:rsidR="00433F72">
        <w:rPr>
          <w:rFonts w:cstheme="minorHAnsi"/>
          <w:sz w:val="24"/>
          <w:szCs w:val="24"/>
        </w:rPr>
        <w:t xml:space="preserve">rovněž </w:t>
      </w:r>
      <w:r w:rsidRPr="00DE0CEE">
        <w:rPr>
          <w:rFonts w:cstheme="minorHAnsi"/>
          <w:sz w:val="24"/>
          <w:szCs w:val="24"/>
        </w:rPr>
        <w:t>provozovateli vozidla. Z</w:t>
      </w:r>
      <w:r w:rsidRPr="00DE0CEE">
        <w:rPr>
          <w:rFonts w:cstheme="minorHAnsi"/>
          <w:color w:val="232323"/>
          <w:sz w:val="24"/>
          <w:szCs w:val="24"/>
          <w:shd w:val="clear" w:color="auto" w:fill="FFFFFF"/>
        </w:rPr>
        <w:t xml:space="preserve">jistí-li se při NKV nedodržení hodnot nebo podmínek stanovených zákonem </w:t>
      </w:r>
      <w:r w:rsidRPr="00DE0CEE">
        <w:rPr>
          <w:rFonts w:cstheme="minorHAnsi"/>
          <w:sz w:val="24"/>
          <w:szCs w:val="24"/>
        </w:rPr>
        <w:t>č. 361/2000 Sb.</w:t>
      </w:r>
      <w:r w:rsidR="00500666" w:rsidRPr="00DE0CEE">
        <w:rPr>
          <w:rFonts w:cstheme="minorHAnsi"/>
          <w:sz w:val="24"/>
          <w:szCs w:val="24"/>
        </w:rPr>
        <w:t>,</w:t>
      </w:r>
      <w:r w:rsidRPr="00DE0CEE">
        <w:rPr>
          <w:rFonts w:cstheme="minorHAnsi"/>
          <w:sz w:val="24"/>
          <w:szCs w:val="24"/>
        </w:rPr>
        <w:t xml:space="preserve"> </w:t>
      </w:r>
      <w:r w:rsidRPr="00DE0CEE">
        <w:rPr>
          <w:rFonts w:cstheme="minorHAnsi"/>
          <w:color w:val="232323"/>
          <w:sz w:val="24"/>
          <w:szCs w:val="24"/>
          <w:shd w:val="clear" w:color="auto" w:fill="FFFFFF"/>
        </w:rPr>
        <w:t>přikáže policista nebo celník řidiči jízdu na nejbližší vhodné místo k</w:t>
      </w:r>
      <w:r w:rsidR="00433F72">
        <w:rPr>
          <w:rFonts w:cstheme="minorHAnsi"/>
          <w:color w:val="232323"/>
          <w:sz w:val="24"/>
          <w:szCs w:val="24"/>
          <w:shd w:val="clear" w:color="auto" w:fill="FFFFFF"/>
        </w:rPr>
        <w:t> </w:t>
      </w:r>
      <w:r w:rsidRPr="00DE0CEE">
        <w:rPr>
          <w:rFonts w:cstheme="minorHAnsi"/>
          <w:color w:val="232323"/>
          <w:sz w:val="24"/>
          <w:szCs w:val="24"/>
          <w:shd w:val="clear" w:color="auto" w:fill="FFFFFF"/>
        </w:rPr>
        <w:t>odstavení vozidla nebo jízdní soupravy a zakáže pokračování v jízdě do doby, než bude zjištěné nedodržení hodnot nebo podmínek odstraněno, nebo než užití vozidla nebo jízdní soupravy bude umožněno rozhodnutím o povolení zvláštního užívání nebo opatřením obecné povahy</w:t>
      </w:r>
      <w:r w:rsidR="00433F72">
        <w:rPr>
          <w:rFonts w:cstheme="minorHAnsi"/>
          <w:color w:val="232323"/>
          <w:sz w:val="24"/>
          <w:szCs w:val="24"/>
          <w:shd w:val="clear" w:color="auto" w:fill="FFFFFF"/>
        </w:rPr>
        <w:t>.</w:t>
      </w:r>
      <w:r w:rsidR="005E4AD6">
        <w:rPr>
          <w:rStyle w:val="Znakapoznpodarou"/>
          <w:rFonts w:cstheme="minorHAnsi"/>
          <w:color w:val="232323"/>
          <w:sz w:val="24"/>
          <w:szCs w:val="24"/>
          <w:shd w:val="clear" w:color="auto" w:fill="FFFFFF"/>
        </w:rPr>
        <w:footnoteReference w:id="21"/>
      </w:r>
    </w:p>
    <w:p w14:paraId="0DE83148" w14:textId="77777777" w:rsidR="00500666" w:rsidRPr="00DE0CEE" w:rsidRDefault="00500666" w:rsidP="002C4E3B">
      <w:pPr>
        <w:spacing w:after="0" w:line="252" w:lineRule="auto"/>
        <w:contextualSpacing/>
        <w:jc w:val="both"/>
        <w:rPr>
          <w:rFonts w:cstheme="minorHAnsi"/>
          <w:sz w:val="24"/>
          <w:szCs w:val="24"/>
        </w:rPr>
      </w:pPr>
    </w:p>
    <w:p w14:paraId="1FB74A7C" w14:textId="77777777" w:rsidR="00B03AD1" w:rsidRPr="00DE0CEE" w:rsidRDefault="00B03AD1" w:rsidP="002C4E3B">
      <w:pPr>
        <w:spacing w:after="0" w:line="252" w:lineRule="auto"/>
        <w:contextualSpacing/>
        <w:jc w:val="both"/>
        <w:rPr>
          <w:rFonts w:cstheme="minorHAnsi"/>
          <w:sz w:val="24"/>
          <w:szCs w:val="24"/>
        </w:rPr>
      </w:pPr>
      <w:r w:rsidRPr="00DE0CEE">
        <w:rPr>
          <w:rFonts w:cstheme="minorHAnsi"/>
          <w:sz w:val="24"/>
          <w:szCs w:val="24"/>
        </w:rPr>
        <w:t>2.1</w:t>
      </w:r>
      <w:r w:rsidR="00500666" w:rsidRPr="00DE0CEE">
        <w:rPr>
          <w:rFonts w:cstheme="minorHAnsi"/>
          <w:sz w:val="24"/>
          <w:szCs w:val="24"/>
        </w:rPr>
        <w:t>2</w:t>
      </w:r>
      <w:r w:rsidRPr="00DE0CEE">
        <w:rPr>
          <w:rFonts w:cstheme="minorHAnsi"/>
          <w:sz w:val="24"/>
          <w:szCs w:val="24"/>
        </w:rPr>
        <w:t xml:space="preserve"> Za přestupek spočívající v </w:t>
      </w:r>
      <w:r w:rsidRPr="00DE0CEE">
        <w:rPr>
          <w:rFonts w:cstheme="minorHAnsi"/>
          <w:color w:val="232323"/>
          <w:sz w:val="24"/>
          <w:szCs w:val="24"/>
          <w:shd w:val="clear" w:color="auto" w:fill="FFFFFF"/>
        </w:rPr>
        <w:t>nedodržení předepsaných hmotnostních limitů</w:t>
      </w:r>
      <w:r w:rsidRPr="00DE0CEE">
        <w:rPr>
          <w:rFonts w:cstheme="minorHAnsi"/>
          <w:sz w:val="24"/>
          <w:szCs w:val="24"/>
        </w:rPr>
        <w:t xml:space="preserve"> lze uložit pokutu do 500 000 Kč. Výměra pokuty činí 9 000 Kč za každou započatou tunu, která překračuje největší povolenou hmotnost vozidla nebo jízdní soupravy stanovenou zákonem </w:t>
      </w:r>
      <w:r w:rsidR="0028088D">
        <w:rPr>
          <w:rFonts w:cstheme="minorHAnsi"/>
          <w:sz w:val="24"/>
          <w:szCs w:val="24"/>
        </w:rPr>
        <w:br/>
      </w:r>
      <w:r w:rsidRPr="00DE0CEE">
        <w:rPr>
          <w:rFonts w:cstheme="minorHAnsi"/>
          <w:sz w:val="24"/>
          <w:szCs w:val="24"/>
        </w:rPr>
        <w:t xml:space="preserve">č. 361/2000 Sb. Není-li nejvyšší povolená hmotnost vozidla nebo jízdní soupravy překročena </w:t>
      </w:r>
      <w:r w:rsidR="0028088D">
        <w:rPr>
          <w:rFonts w:cstheme="minorHAnsi"/>
          <w:sz w:val="24"/>
          <w:szCs w:val="24"/>
        </w:rPr>
        <w:br/>
      </w:r>
      <w:r w:rsidRPr="00DE0CEE">
        <w:rPr>
          <w:rFonts w:cstheme="minorHAnsi"/>
          <w:sz w:val="24"/>
          <w:szCs w:val="24"/>
        </w:rPr>
        <w:t>o více než 500 kg, činí výměra pokuty 5 000 K</w:t>
      </w:r>
      <w:r w:rsidR="00876145" w:rsidRPr="00DE0CEE">
        <w:rPr>
          <w:rFonts w:cstheme="minorHAnsi"/>
          <w:sz w:val="24"/>
          <w:szCs w:val="24"/>
        </w:rPr>
        <w:t>č.</w:t>
      </w:r>
      <w:r w:rsidRPr="00DE0CEE">
        <w:rPr>
          <w:rFonts w:cstheme="minorHAnsi"/>
          <w:sz w:val="24"/>
          <w:szCs w:val="24"/>
        </w:rPr>
        <w:t xml:space="preserve"> Novela </w:t>
      </w:r>
      <w:r w:rsidR="00876145" w:rsidRPr="00DE0CEE">
        <w:rPr>
          <w:rFonts w:cstheme="minorHAnsi"/>
          <w:sz w:val="24"/>
          <w:szCs w:val="24"/>
        </w:rPr>
        <w:t>zákona o pozemních komunikacích</w:t>
      </w:r>
      <w:r w:rsidRPr="00DE0CEE">
        <w:rPr>
          <w:rFonts w:cstheme="minorHAnsi"/>
          <w:sz w:val="24"/>
          <w:szCs w:val="24"/>
        </w:rPr>
        <w:t xml:space="preserve"> s účinností od 1. 3. 2024 stanovila, že výměra pokuty ukládané příkazem za tyto přestupky činí polovinu výměr</w:t>
      </w:r>
      <w:r w:rsidR="00814AD9" w:rsidRPr="00DE0CEE">
        <w:rPr>
          <w:rFonts w:cstheme="minorHAnsi"/>
          <w:sz w:val="24"/>
          <w:szCs w:val="24"/>
        </w:rPr>
        <w:t>y</w:t>
      </w:r>
      <w:r w:rsidRPr="00DE0CEE">
        <w:rPr>
          <w:rFonts w:cstheme="minorHAnsi"/>
          <w:sz w:val="24"/>
          <w:szCs w:val="24"/>
        </w:rPr>
        <w:t xml:space="preserve"> pokuty (nepodá-li přestupce odpor).</w:t>
      </w:r>
    </w:p>
    <w:p w14:paraId="55B13AC8" w14:textId="64B71D5E" w:rsidR="00B03AD1" w:rsidRPr="00DE0CEE" w:rsidRDefault="00B03AD1" w:rsidP="002C4E3B">
      <w:pPr>
        <w:spacing w:after="0" w:line="252" w:lineRule="auto"/>
        <w:contextualSpacing/>
        <w:jc w:val="both"/>
        <w:rPr>
          <w:rFonts w:cstheme="minorHAnsi"/>
          <w:sz w:val="24"/>
          <w:szCs w:val="24"/>
        </w:rPr>
      </w:pPr>
    </w:p>
    <w:p w14:paraId="0B28EC4B" w14:textId="5FEE96BB" w:rsidR="00B03AD1" w:rsidRPr="00DE0CEE" w:rsidRDefault="00876145" w:rsidP="002C4E3B">
      <w:pPr>
        <w:spacing w:after="0" w:line="252" w:lineRule="auto"/>
        <w:contextualSpacing/>
        <w:jc w:val="both"/>
        <w:rPr>
          <w:rFonts w:cstheme="minorHAnsi"/>
          <w:sz w:val="24"/>
          <w:szCs w:val="24"/>
        </w:rPr>
      </w:pPr>
      <w:r w:rsidRPr="00DE0CEE">
        <w:rPr>
          <w:rFonts w:cstheme="minorHAnsi"/>
          <w:sz w:val="24"/>
          <w:szCs w:val="24"/>
        </w:rPr>
        <w:t>2.1</w:t>
      </w:r>
      <w:r w:rsidR="00500666" w:rsidRPr="00DE0CEE">
        <w:rPr>
          <w:rFonts w:cstheme="minorHAnsi"/>
          <w:sz w:val="24"/>
          <w:szCs w:val="24"/>
        </w:rPr>
        <w:t>3</w:t>
      </w:r>
      <w:r w:rsidRPr="00DE0CEE">
        <w:rPr>
          <w:rFonts w:cstheme="minorHAnsi"/>
          <w:sz w:val="24"/>
          <w:szCs w:val="24"/>
        </w:rPr>
        <w:t xml:space="preserve"> </w:t>
      </w:r>
      <w:r w:rsidR="00B03AD1" w:rsidRPr="00DE0CEE">
        <w:rPr>
          <w:rFonts w:cstheme="minorHAnsi"/>
          <w:sz w:val="24"/>
          <w:szCs w:val="24"/>
        </w:rPr>
        <w:t>Pokuty vybírá orgán, který je uložil. Příjem z těchto pokut je ze 40 % příjmem vlastníka pozemní komunikace, na níž bylo kontrolní vážení</w:t>
      </w:r>
      <w:bookmarkStart w:id="14" w:name="lema94"/>
      <w:bookmarkStart w:id="15" w:name="lema95"/>
      <w:bookmarkEnd w:id="14"/>
      <w:bookmarkEnd w:id="15"/>
      <w:r w:rsidR="00B03AD1" w:rsidRPr="00DE0CEE">
        <w:rPr>
          <w:rFonts w:cstheme="minorHAnsi"/>
          <w:sz w:val="24"/>
          <w:szCs w:val="24"/>
        </w:rPr>
        <w:t xml:space="preserve"> provedeno (v případě pozemní komunikace ve vlastnictví státu je příjmem SFDI</w:t>
      </w:r>
      <w:r w:rsidR="00D01FF3" w:rsidRPr="00DE0CEE">
        <w:rPr>
          <w:rFonts w:cstheme="minorHAnsi"/>
          <w:sz w:val="24"/>
          <w:szCs w:val="24"/>
        </w:rPr>
        <w:t>)</w:t>
      </w:r>
      <w:r w:rsidR="00B03AD1" w:rsidRPr="00DE0CEE">
        <w:rPr>
          <w:rFonts w:cstheme="minorHAnsi"/>
          <w:sz w:val="24"/>
          <w:szCs w:val="24"/>
        </w:rPr>
        <w:t>, ze 30 % příjmem kraje, v jehož územním obvodu bylo kontrolní vážení</w:t>
      </w:r>
      <w:r w:rsidR="00433F72">
        <w:rPr>
          <w:rFonts w:cstheme="minorHAnsi"/>
          <w:sz w:val="24"/>
          <w:szCs w:val="24"/>
        </w:rPr>
        <w:t xml:space="preserve"> </w:t>
      </w:r>
      <w:r w:rsidR="00B03AD1" w:rsidRPr="00DE0CEE">
        <w:rPr>
          <w:rFonts w:cstheme="minorHAnsi"/>
          <w:sz w:val="24"/>
          <w:szCs w:val="24"/>
        </w:rPr>
        <w:t xml:space="preserve">provedeno, a ze 30 % příjmem rozpočtu, ze kterého je hrazena činnost orgánu, který pokutu uložil (do </w:t>
      </w:r>
      <w:r w:rsidR="002A3866" w:rsidRPr="00DE0CEE">
        <w:rPr>
          <w:rFonts w:cstheme="minorHAnsi"/>
          <w:sz w:val="24"/>
          <w:szCs w:val="24"/>
        </w:rPr>
        <w:t>29</w:t>
      </w:r>
      <w:r w:rsidR="00B03AD1" w:rsidRPr="00DE0CEE">
        <w:rPr>
          <w:rFonts w:cstheme="minorHAnsi"/>
          <w:sz w:val="24"/>
          <w:szCs w:val="24"/>
        </w:rPr>
        <w:t xml:space="preserve">. </w:t>
      </w:r>
      <w:r w:rsidR="002A3866" w:rsidRPr="00DE0CEE">
        <w:rPr>
          <w:rFonts w:cstheme="minorHAnsi"/>
          <w:sz w:val="24"/>
          <w:szCs w:val="24"/>
        </w:rPr>
        <w:t>2</w:t>
      </w:r>
      <w:r w:rsidR="00B03AD1" w:rsidRPr="00DE0CEE">
        <w:rPr>
          <w:rFonts w:cstheme="minorHAnsi"/>
          <w:sz w:val="24"/>
          <w:szCs w:val="24"/>
        </w:rPr>
        <w:t xml:space="preserve">. 2024 činil podíl kraje </w:t>
      </w:r>
      <w:r w:rsidR="00D70786" w:rsidRPr="00DE0CEE">
        <w:rPr>
          <w:rFonts w:cstheme="minorHAnsi"/>
          <w:sz w:val="24"/>
          <w:szCs w:val="24"/>
        </w:rPr>
        <w:t xml:space="preserve">45 % </w:t>
      </w:r>
      <w:r w:rsidR="00B03AD1" w:rsidRPr="00DE0CEE">
        <w:rPr>
          <w:rFonts w:cstheme="minorHAnsi"/>
          <w:sz w:val="24"/>
          <w:szCs w:val="24"/>
        </w:rPr>
        <w:t xml:space="preserve">a </w:t>
      </w:r>
      <w:r w:rsidR="00D70786" w:rsidRPr="00DE0CEE">
        <w:rPr>
          <w:rFonts w:cstheme="minorHAnsi"/>
          <w:sz w:val="24"/>
          <w:szCs w:val="24"/>
        </w:rPr>
        <w:t>15 % podíl</w:t>
      </w:r>
      <w:r w:rsidR="00B03AD1" w:rsidRPr="00DE0CEE">
        <w:rPr>
          <w:rFonts w:cstheme="minorHAnsi"/>
          <w:sz w:val="24"/>
          <w:szCs w:val="24"/>
        </w:rPr>
        <w:t xml:space="preserve"> rozpočtu, </w:t>
      </w:r>
      <w:r w:rsidR="0028088D">
        <w:rPr>
          <w:rFonts w:cstheme="minorHAnsi"/>
          <w:sz w:val="24"/>
          <w:szCs w:val="24"/>
        </w:rPr>
        <w:br/>
      </w:r>
      <w:r w:rsidR="00B03AD1" w:rsidRPr="00DE0CEE">
        <w:rPr>
          <w:rFonts w:cstheme="minorHAnsi"/>
          <w:sz w:val="24"/>
          <w:szCs w:val="24"/>
        </w:rPr>
        <w:t>ze kterého je hrazena činnost orgánu, který pokutu uložil</w:t>
      </w:r>
      <w:r w:rsidR="00D70786" w:rsidRPr="00DE0CEE">
        <w:rPr>
          <w:rFonts w:cstheme="minorHAnsi"/>
          <w:sz w:val="24"/>
          <w:szCs w:val="24"/>
        </w:rPr>
        <w:t>)</w:t>
      </w:r>
      <w:r w:rsidR="00B03AD1" w:rsidRPr="00DE0CEE">
        <w:rPr>
          <w:rFonts w:cstheme="minorHAnsi"/>
          <w:sz w:val="24"/>
          <w:szCs w:val="24"/>
        </w:rPr>
        <w:t>.</w:t>
      </w:r>
    </w:p>
    <w:p w14:paraId="3BFDA05C" w14:textId="77777777" w:rsidR="003625C7" w:rsidRPr="00DE0CEE" w:rsidRDefault="003625C7" w:rsidP="002C4E3B">
      <w:pPr>
        <w:spacing w:after="0" w:line="252" w:lineRule="auto"/>
        <w:contextualSpacing/>
        <w:jc w:val="both"/>
        <w:rPr>
          <w:rFonts w:cstheme="minorHAnsi"/>
          <w:sz w:val="24"/>
          <w:szCs w:val="24"/>
        </w:rPr>
      </w:pPr>
    </w:p>
    <w:p w14:paraId="0BFDBC39" w14:textId="69976F5E" w:rsidR="002D5FB0" w:rsidRPr="00DE0CEE" w:rsidRDefault="003625C7" w:rsidP="002C4E3B">
      <w:pPr>
        <w:spacing w:after="0" w:line="252" w:lineRule="auto"/>
        <w:contextualSpacing/>
        <w:jc w:val="both"/>
        <w:rPr>
          <w:rFonts w:cstheme="minorHAnsi"/>
          <w:sz w:val="24"/>
          <w:szCs w:val="24"/>
        </w:rPr>
      </w:pPr>
      <w:r w:rsidRPr="00DE0CEE">
        <w:rPr>
          <w:rFonts w:cstheme="minorHAnsi"/>
          <w:sz w:val="24"/>
          <w:szCs w:val="24"/>
        </w:rPr>
        <w:t>2.1</w:t>
      </w:r>
      <w:r w:rsidR="00500666" w:rsidRPr="00DE0CEE">
        <w:rPr>
          <w:rFonts w:cstheme="minorHAnsi"/>
          <w:sz w:val="24"/>
          <w:szCs w:val="24"/>
        </w:rPr>
        <w:t>4</w:t>
      </w:r>
      <w:r w:rsidRPr="00DE0CEE">
        <w:rPr>
          <w:rFonts w:cstheme="minorHAnsi"/>
          <w:sz w:val="24"/>
          <w:szCs w:val="24"/>
        </w:rPr>
        <w:t xml:space="preserve"> </w:t>
      </w:r>
      <w:r w:rsidR="002D5FB0" w:rsidRPr="00DE0CEE">
        <w:rPr>
          <w:rFonts w:cstheme="minorHAnsi"/>
          <w:sz w:val="24"/>
          <w:szCs w:val="24"/>
        </w:rPr>
        <w:t>Váhy pro VKV mohou být provozovány nejen samostatně pro kontrolní vážení s tzv. přímým postihem (viz odst</w:t>
      </w:r>
      <w:r w:rsidR="00AB0823" w:rsidRPr="00DE0CEE">
        <w:rPr>
          <w:rFonts w:cstheme="minorHAnsi"/>
          <w:sz w:val="24"/>
          <w:szCs w:val="24"/>
        </w:rPr>
        <w:t>.</w:t>
      </w:r>
      <w:r w:rsidR="002D5FB0" w:rsidRPr="00DE0CEE">
        <w:rPr>
          <w:rFonts w:cstheme="minorHAnsi"/>
          <w:sz w:val="24"/>
          <w:szCs w:val="24"/>
        </w:rPr>
        <w:t xml:space="preserve"> 2.</w:t>
      </w:r>
      <w:r w:rsidR="009547E6" w:rsidRPr="00DE0CEE">
        <w:rPr>
          <w:rFonts w:cstheme="minorHAnsi"/>
          <w:sz w:val="24"/>
          <w:szCs w:val="24"/>
        </w:rPr>
        <w:t>6</w:t>
      </w:r>
      <w:r w:rsidR="00FA3F22">
        <w:rPr>
          <w:rFonts w:cstheme="minorHAnsi"/>
          <w:sz w:val="24"/>
          <w:szCs w:val="24"/>
        </w:rPr>
        <w:t>–</w:t>
      </w:r>
      <w:r w:rsidR="002D5FB0" w:rsidRPr="00DE0CEE">
        <w:rPr>
          <w:rFonts w:cstheme="minorHAnsi"/>
          <w:sz w:val="24"/>
          <w:szCs w:val="24"/>
        </w:rPr>
        <w:t>2.</w:t>
      </w:r>
      <w:r w:rsidR="009547E6" w:rsidRPr="00DE0CEE">
        <w:rPr>
          <w:rFonts w:cstheme="minorHAnsi"/>
          <w:sz w:val="24"/>
          <w:szCs w:val="24"/>
        </w:rPr>
        <w:t>8</w:t>
      </w:r>
      <w:r w:rsidR="002D5FB0" w:rsidRPr="00DE0CEE">
        <w:rPr>
          <w:rFonts w:cstheme="minorHAnsi"/>
          <w:sz w:val="24"/>
          <w:szCs w:val="24"/>
        </w:rPr>
        <w:t>), ale rovněž v</w:t>
      </w:r>
      <w:r w:rsidR="00433F72">
        <w:rPr>
          <w:rFonts w:cstheme="minorHAnsi"/>
          <w:sz w:val="24"/>
          <w:szCs w:val="24"/>
        </w:rPr>
        <w:t xml:space="preserve"> </w:t>
      </w:r>
      <w:r w:rsidR="002D5FB0" w:rsidRPr="00DE0CEE">
        <w:rPr>
          <w:rFonts w:cstheme="minorHAnsi"/>
          <w:sz w:val="24"/>
          <w:szCs w:val="24"/>
        </w:rPr>
        <w:t>součinnosti s</w:t>
      </w:r>
      <w:r w:rsidR="00433F72">
        <w:rPr>
          <w:rFonts w:cstheme="minorHAnsi"/>
          <w:sz w:val="24"/>
          <w:szCs w:val="24"/>
        </w:rPr>
        <w:t xml:space="preserve"> </w:t>
      </w:r>
      <w:r w:rsidR="002D5FB0" w:rsidRPr="00DE0CEE">
        <w:rPr>
          <w:rFonts w:cstheme="minorHAnsi"/>
          <w:sz w:val="24"/>
          <w:szCs w:val="24"/>
        </w:rPr>
        <w:t>NKV</w:t>
      </w:r>
      <w:r w:rsidR="00FB0D64" w:rsidRPr="00DE0CEE">
        <w:rPr>
          <w:rFonts w:cstheme="minorHAnsi"/>
          <w:sz w:val="24"/>
          <w:szCs w:val="24"/>
        </w:rPr>
        <w:t>. V</w:t>
      </w:r>
      <w:r w:rsidR="00433F72">
        <w:rPr>
          <w:rFonts w:cstheme="minorHAnsi"/>
          <w:sz w:val="24"/>
          <w:szCs w:val="24"/>
        </w:rPr>
        <w:t xml:space="preserve"> </w:t>
      </w:r>
      <w:r w:rsidR="00FB0D64" w:rsidRPr="00DE0CEE">
        <w:rPr>
          <w:rFonts w:cstheme="minorHAnsi"/>
          <w:sz w:val="24"/>
          <w:szCs w:val="24"/>
        </w:rPr>
        <w:t xml:space="preserve">takovém případě </w:t>
      </w:r>
      <w:r w:rsidR="002D5FB0" w:rsidRPr="00DE0CEE">
        <w:rPr>
          <w:rFonts w:cstheme="minorHAnsi"/>
          <w:sz w:val="24"/>
          <w:szCs w:val="24"/>
        </w:rPr>
        <w:t xml:space="preserve">vysokorychlostní váhy slouží pro předvýběr vozidel s indikovaným přetížením, u nichž je </w:t>
      </w:r>
      <w:r w:rsidR="002D5FB0" w:rsidRPr="00DE0CEE">
        <w:rPr>
          <w:rFonts w:cstheme="minorHAnsi"/>
          <w:sz w:val="24"/>
          <w:szCs w:val="24"/>
        </w:rPr>
        <w:lastRenderedPageBreak/>
        <w:t xml:space="preserve">následně provedeno NKV. </w:t>
      </w:r>
      <w:r w:rsidR="00FB0D64" w:rsidRPr="00DE0CEE">
        <w:rPr>
          <w:rFonts w:cstheme="minorHAnsi"/>
          <w:sz w:val="24"/>
          <w:szCs w:val="24"/>
        </w:rPr>
        <w:t>Toto</w:t>
      </w:r>
      <w:r w:rsidR="002D5FB0" w:rsidRPr="00DE0CEE">
        <w:rPr>
          <w:rFonts w:cstheme="minorHAnsi"/>
          <w:sz w:val="24"/>
          <w:szCs w:val="24"/>
        </w:rPr>
        <w:t xml:space="preserve"> </w:t>
      </w:r>
      <w:r w:rsidR="00FB0D64" w:rsidRPr="00DE0CEE">
        <w:rPr>
          <w:rFonts w:cstheme="minorHAnsi"/>
          <w:sz w:val="24"/>
          <w:szCs w:val="24"/>
        </w:rPr>
        <w:t>řešení</w:t>
      </w:r>
      <w:r w:rsidR="002D5FB0" w:rsidRPr="00DE0CEE">
        <w:rPr>
          <w:rFonts w:cstheme="minorHAnsi"/>
          <w:sz w:val="24"/>
          <w:szCs w:val="24"/>
        </w:rPr>
        <w:t xml:space="preserve"> představuje</w:t>
      </w:r>
      <w:r w:rsidR="005319AB">
        <w:rPr>
          <w:rFonts w:cstheme="minorHAnsi"/>
          <w:sz w:val="24"/>
          <w:szCs w:val="24"/>
        </w:rPr>
        <w:t xml:space="preserve"> </w:t>
      </w:r>
      <w:r w:rsidR="002D5FB0" w:rsidRPr="00DE0CEE">
        <w:rPr>
          <w:rFonts w:cstheme="minorHAnsi"/>
          <w:sz w:val="24"/>
          <w:szCs w:val="24"/>
        </w:rPr>
        <w:t>alternativ</w:t>
      </w:r>
      <w:r w:rsidR="00FB0D64" w:rsidRPr="00DE0CEE">
        <w:rPr>
          <w:rFonts w:cstheme="minorHAnsi"/>
          <w:sz w:val="24"/>
          <w:szCs w:val="24"/>
        </w:rPr>
        <w:t>ní</w:t>
      </w:r>
      <w:r w:rsidR="002D5FB0" w:rsidRPr="00DE0CEE">
        <w:rPr>
          <w:rFonts w:cstheme="minorHAnsi"/>
          <w:sz w:val="24"/>
          <w:szCs w:val="24"/>
        </w:rPr>
        <w:t xml:space="preserve"> využití vysokorychlostních vah</w:t>
      </w:r>
      <w:r w:rsidR="00FB0D64" w:rsidRPr="00DE0CEE">
        <w:rPr>
          <w:rFonts w:cstheme="minorHAnsi"/>
          <w:sz w:val="24"/>
          <w:szCs w:val="24"/>
        </w:rPr>
        <w:t xml:space="preserve"> </w:t>
      </w:r>
      <w:r w:rsidR="006241CD" w:rsidRPr="00DE0CEE">
        <w:rPr>
          <w:rFonts w:cstheme="minorHAnsi"/>
          <w:sz w:val="24"/>
          <w:szCs w:val="24"/>
        </w:rPr>
        <w:t xml:space="preserve">úspěšně </w:t>
      </w:r>
      <w:r w:rsidR="00FB0D64" w:rsidRPr="00DE0CEE">
        <w:rPr>
          <w:rFonts w:cstheme="minorHAnsi"/>
          <w:sz w:val="24"/>
          <w:szCs w:val="24"/>
        </w:rPr>
        <w:t>používané</w:t>
      </w:r>
      <w:r w:rsidR="002D5FB0" w:rsidRPr="00DE0CEE">
        <w:rPr>
          <w:rFonts w:cstheme="minorHAnsi"/>
          <w:sz w:val="24"/>
          <w:szCs w:val="24"/>
        </w:rPr>
        <w:t xml:space="preserve"> </w:t>
      </w:r>
      <w:r w:rsidR="00FB0D64" w:rsidRPr="00DE0CEE">
        <w:rPr>
          <w:rFonts w:cstheme="minorHAnsi"/>
          <w:sz w:val="24"/>
          <w:szCs w:val="24"/>
        </w:rPr>
        <w:t xml:space="preserve">v </w:t>
      </w:r>
      <w:r w:rsidR="002D5FB0" w:rsidRPr="00DE0CEE">
        <w:rPr>
          <w:rFonts w:cstheme="minorHAnsi"/>
          <w:sz w:val="24"/>
          <w:szCs w:val="24"/>
        </w:rPr>
        <w:t xml:space="preserve">zahraničí (mj. v Maďarsku, Polsku a v dalších státech). </w:t>
      </w:r>
    </w:p>
    <w:p w14:paraId="202A7F2C" w14:textId="77777777" w:rsidR="002D5FB0" w:rsidRPr="00DE0CEE" w:rsidRDefault="002D5FB0" w:rsidP="002C4E3B">
      <w:pPr>
        <w:spacing w:after="0" w:line="252" w:lineRule="auto"/>
        <w:contextualSpacing/>
        <w:jc w:val="both"/>
        <w:rPr>
          <w:rFonts w:cstheme="minorHAnsi"/>
          <w:color w:val="000000"/>
          <w:sz w:val="24"/>
          <w:szCs w:val="24"/>
        </w:rPr>
      </w:pPr>
    </w:p>
    <w:p w14:paraId="195D71C2" w14:textId="7E3300F0" w:rsidR="003625C7" w:rsidRPr="002C4E3B" w:rsidRDefault="002D5FB0" w:rsidP="002C4E3B">
      <w:pPr>
        <w:spacing w:after="0" w:line="252" w:lineRule="auto"/>
        <w:contextualSpacing/>
        <w:jc w:val="both"/>
        <w:rPr>
          <w:rFonts w:cstheme="minorHAnsi"/>
          <w:sz w:val="24"/>
          <w:szCs w:val="24"/>
        </w:rPr>
      </w:pPr>
      <w:r w:rsidRPr="00DE0CEE">
        <w:rPr>
          <w:rFonts w:cstheme="minorHAnsi"/>
          <w:color w:val="000000"/>
          <w:sz w:val="24"/>
          <w:szCs w:val="24"/>
        </w:rPr>
        <w:t>2.1</w:t>
      </w:r>
      <w:r w:rsidR="00500666" w:rsidRPr="00DE0CEE">
        <w:rPr>
          <w:rFonts w:cstheme="minorHAnsi"/>
          <w:color w:val="000000"/>
          <w:sz w:val="24"/>
          <w:szCs w:val="24"/>
        </w:rPr>
        <w:t>5</w:t>
      </w:r>
      <w:r w:rsidRPr="00DE0CEE">
        <w:rPr>
          <w:rFonts w:cstheme="minorHAnsi"/>
          <w:color w:val="000000"/>
          <w:sz w:val="24"/>
          <w:szCs w:val="24"/>
        </w:rPr>
        <w:t xml:space="preserve"> </w:t>
      </w:r>
      <w:r w:rsidR="003A6CD8" w:rsidRPr="00DE0CEE">
        <w:rPr>
          <w:rFonts w:cstheme="minorHAnsi"/>
          <w:color w:val="000000"/>
          <w:sz w:val="24"/>
          <w:szCs w:val="24"/>
        </w:rPr>
        <w:t>Pro účelnost a efektivnost vynakládání peněžních prostředků na kontrolní vážení není určující výše příjmů z pokut, ale možná úspora nákladů na oprav</w:t>
      </w:r>
      <w:r w:rsidR="00814AD9" w:rsidRPr="00DE0CEE">
        <w:rPr>
          <w:rFonts w:cstheme="minorHAnsi"/>
          <w:color w:val="000000"/>
          <w:sz w:val="24"/>
          <w:szCs w:val="24"/>
        </w:rPr>
        <w:t>y</w:t>
      </w:r>
      <w:r w:rsidR="003A6CD8" w:rsidRPr="00DE0CEE">
        <w:rPr>
          <w:rFonts w:cstheme="minorHAnsi"/>
          <w:color w:val="000000"/>
          <w:sz w:val="24"/>
          <w:szCs w:val="24"/>
        </w:rPr>
        <w:t xml:space="preserve"> škod vznikajících na dopravní infrastruktuře v důsledku jízd přetížených vozidel. Výši těchto škod nebylo možno přesně vyčíslit, neboť MD, ŘSD ani SFDI </w:t>
      </w:r>
      <w:r w:rsidR="00433F72" w:rsidRPr="00DE0CEE">
        <w:rPr>
          <w:rFonts w:cstheme="minorHAnsi"/>
          <w:color w:val="000000"/>
          <w:sz w:val="24"/>
          <w:szCs w:val="24"/>
        </w:rPr>
        <w:t xml:space="preserve">nemají </w:t>
      </w:r>
      <w:r w:rsidR="003A6CD8" w:rsidRPr="00DE0CEE">
        <w:rPr>
          <w:rFonts w:cstheme="minorHAnsi"/>
          <w:color w:val="000000"/>
          <w:sz w:val="24"/>
          <w:szCs w:val="24"/>
        </w:rPr>
        <w:t xml:space="preserve">potřebné údaje k dispozici. </w:t>
      </w:r>
      <w:r w:rsidR="00433F72">
        <w:rPr>
          <w:rFonts w:cstheme="minorHAnsi"/>
          <w:color w:val="000000"/>
          <w:sz w:val="24"/>
          <w:szCs w:val="24"/>
        </w:rPr>
        <w:t>Lze však odhadnout, že z</w:t>
      </w:r>
      <w:r w:rsidR="003A6CD8" w:rsidRPr="00DE0CEE">
        <w:rPr>
          <w:rFonts w:cstheme="minorHAnsi"/>
          <w:color w:val="000000"/>
          <w:sz w:val="24"/>
          <w:szCs w:val="24"/>
        </w:rPr>
        <w:t xml:space="preserve">a kontrolované období </w:t>
      </w:r>
      <w:r w:rsidR="00433F72">
        <w:rPr>
          <w:rFonts w:cstheme="minorHAnsi"/>
          <w:color w:val="000000"/>
          <w:sz w:val="24"/>
          <w:szCs w:val="24"/>
        </w:rPr>
        <w:t>jde o</w:t>
      </w:r>
      <w:r w:rsidR="003A6CD8" w:rsidRPr="00DE0CEE">
        <w:rPr>
          <w:rFonts w:cstheme="minorHAnsi"/>
          <w:color w:val="000000"/>
          <w:sz w:val="24"/>
          <w:szCs w:val="24"/>
        </w:rPr>
        <w:t xml:space="preserve"> miliardy korun (viz </w:t>
      </w:r>
      <w:r w:rsidR="00D76DF9" w:rsidRPr="00DE0CEE">
        <w:rPr>
          <w:rFonts w:cstheme="minorHAnsi"/>
          <w:color w:val="000000"/>
          <w:sz w:val="24"/>
          <w:szCs w:val="24"/>
        </w:rPr>
        <w:t>ods</w:t>
      </w:r>
      <w:r w:rsidR="00AB0823" w:rsidRPr="00DE0CEE">
        <w:rPr>
          <w:rFonts w:cstheme="minorHAnsi"/>
          <w:color w:val="000000"/>
          <w:sz w:val="24"/>
          <w:szCs w:val="24"/>
        </w:rPr>
        <w:t>t.</w:t>
      </w:r>
      <w:r w:rsidR="00D76DF9" w:rsidRPr="00DE0CEE">
        <w:rPr>
          <w:rFonts w:cstheme="minorHAnsi"/>
          <w:color w:val="000000"/>
          <w:sz w:val="24"/>
          <w:szCs w:val="24"/>
        </w:rPr>
        <w:t xml:space="preserve"> 4.</w:t>
      </w:r>
      <w:r w:rsidR="009547E6" w:rsidRPr="00DE0CEE">
        <w:rPr>
          <w:rFonts w:cstheme="minorHAnsi"/>
          <w:color w:val="000000"/>
          <w:sz w:val="24"/>
          <w:szCs w:val="24"/>
        </w:rPr>
        <w:t>4</w:t>
      </w:r>
      <w:r w:rsidR="003A6CD8" w:rsidRPr="00DE0CEE">
        <w:rPr>
          <w:rFonts w:cstheme="minorHAnsi"/>
          <w:color w:val="000000"/>
          <w:sz w:val="24"/>
          <w:szCs w:val="24"/>
        </w:rPr>
        <w:t>).</w:t>
      </w:r>
    </w:p>
    <w:p w14:paraId="30E1F0DA" w14:textId="77777777" w:rsidR="00876145" w:rsidRPr="002C4E3B" w:rsidRDefault="00876145" w:rsidP="002C4E3B">
      <w:pPr>
        <w:spacing w:after="0" w:line="252" w:lineRule="auto"/>
        <w:contextualSpacing/>
        <w:jc w:val="both"/>
        <w:rPr>
          <w:rFonts w:cstheme="minorHAnsi"/>
          <w:sz w:val="24"/>
          <w:szCs w:val="24"/>
        </w:rPr>
      </w:pPr>
    </w:p>
    <w:p w14:paraId="66E198B6" w14:textId="77777777" w:rsidR="00B57E3A" w:rsidRPr="002C4E3B" w:rsidRDefault="00B57E3A" w:rsidP="002C4E3B">
      <w:pPr>
        <w:spacing w:after="0" w:line="252" w:lineRule="auto"/>
        <w:contextualSpacing/>
        <w:jc w:val="both"/>
        <w:rPr>
          <w:rFonts w:cstheme="minorHAnsi"/>
          <w:sz w:val="24"/>
          <w:szCs w:val="24"/>
        </w:rPr>
      </w:pPr>
    </w:p>
    <w:p w14:paraId="77AC5CD3" w14:textId="77777777" w:rsidR="009962CB" w:rsidRPr="002C4E3B" w:rsidRDefault="009962CB" w:rsidP="002025E9">
      <w:pPr>
        <w:pStyle w:val="Nadpis1"/>
        <w:tabs>
          <w:tab w:val="left" w:pos="2835"/>
        </w:tabs>
        <w:spacing w:before="0" w:after="120" w:line="252" w:lineRule="auto"/>
        <w:contextualSpacing/>
        <w:jc w:val="center"/>
        <w:rPr>
          <w:rFonts w:asciiTheme="minorHAnsi" w:hAnsiTheme="minorHAnsi" w:cstheme="minorHAnsi"/>
          <w:sz w:val="28"/>
          <w:szCs w:val="28"/>
        </w:rPr>
      </w:pPr>
      <w:r w:rsidRPr="002C4E3B">
        <w:rPr>
          <w:rFonts w:asciiTheme="minorHAnsi" w:hAnsiTheme="minorHAnsi" w:cstheme="minorHAnsi"/>
          <w:sz w:val="28"/>
          <w:szCs w:val="28"/>
        </w:rPr>
        <w:t>III. Rozsah kontroly</w:t>
      </w:r>
    </w:p>
    <w:p w14:paraId="2A71FB45" w14:textId="77777777" w:rsidR="00B57E3A" w:rsidRPr="002C4E3B" w:rsidRDefault="00B57E3A" w:rsidP="002025E9">
      <w:pPr>
        <w:pStyle w:val="Default"/>
        <w:keepNext/>
        <w:tabs>
          <w:tab w:val="left" w:pos="3481"/>
        </w:tabs>
        <w:spacing w:after="120" w:line="252" w:lineRule="auto"/>
        <w:contextualSpacing/>
        <w:rPr>
          <w:rFonts w:asciiTheme="minorHAnsi" w:eastAsia="Arial Unicode MS" w:hAnsiTheme="minorHAnsi" w:cstheme="minorHAnsi"/>
          <w:b/>
          <w:bCs/>
          <w:color w:val="auto"/>
        </w:rPr>
      </w:pPr>
    </w:p>
    <w:p w14:paraId="71C16034" w14:textId="77777777" w:rsidR="009962CB" w:rsidRPr="002C4E3B" w:rsidRDefault="009962CB" w:rsidP="002C4E3B">
      <w:pPr>
        <w:spacing w:after="0" w:line="252" w:lineRule="auto"/>
        <w:contextualSpacing/>
        <w:jc w:val="both"/>
        <w:rPr>
          <w:rFonts w:eastAsia="Arial Unicode MS" w:cstheme="minorHAnsi"/>
          <w:bCs/>
          <w:sz w:val="24"/>
          <w:szCs w:val="24"/>
          <w:lang w:eastAsia="cs-CZ"/>
        </w:rPr>
      </w:pPr>
      <w:r w:rsidRPr="002C4E3B">
        <w:rPr>
          <w:rFonts w:eastAsia="Arial Unicode MS" w:cstheme="minorHAnsi"/>
          <w:bCs/>
          <w:sz w:val="24"/>
          <w:szCs w:val="24"/>
          <w:lang w:eastAsia="cs-CZ"/>
        </w:rPr>
        <w:t xml:space="preserve">3.1 NKÚ prověřoval </w:t>
      </w:r>
      <w:r w:rsidR="004A4456" w:rsidRPr="002C4E3B">
        <w:rPr>
          <w:rFonts w:cstheme="minorHAnsi"/>
          <w:sz w:val="24"/>
          <w:szCs w:val="24"/>
        </w:rPr>
        <w:t>peněžní prostředky určené na kontrolní vážení a příjmy SFDI z pokut uložených v souvislosti s kontrolním vážením.</w:t>
      </w:r>
      <w:r w:rsidRPr="002C4E3B">
        <w:rPr>
          <w:rFonts w:eastAsia="Arial Unicode MS" w:cstheme="minorHAnsi"/>
          <w:bCs/>
          <w:sz w:val="24"/>
          <w:szCs w:val="24"/>
          <w:lang w:eastAsia="cs-CZ"/>
        </w:rPr>
        <w:t xml:space="preserve"> Cílem kontroly bylo prověřit, </w:t>
      </w:r>
      <w:r w:rsidR="004A4456" w:rsidRPr="002C4E3B">
        <w:rPr>
          <w:rFonts w:cstheme="minorHAnsi"/>
          <w:sz w:val="24"/>
          <w:szCs w:val="24"/>
        </w:rPr>
        <w:t>zda peněžní prostředky určené na kontrolní vážení vozidel na dálnicích a silnicích I. třídy byly vynaloženy účelně, hospodárně, efektivně a v souladu s právními předpisy, a prověřit příjmy SFDI z pokut uložených v souvislosti s kontrolním vážením.</w:t>
      </w:r>
    </w:p>
    <w:p w14:paraId="22949870" w14:textId="77777777" w:rsidR="004A4456" w:rsidRPr="002C4E3B" w:rsidRDefault="004A4456" w:rsidP="002C4E3B">
      <w:pPr>
        <w:spacing w:after="0" w:line="252" w:lineRule="auto"/>
        <w:contextualSpacing/>
        <w:jc w:val="both"/>
        <w:rPr>
          <w:rFonts w:eastAsia="Arial Unicode MS" w:cstheme="minorHAnsi"/>
          <w:bCs/>
          <w:sz w:val="24"/>
          <w:szCs w:val="24"/>
          <w:lang w:eastAsia="cs-CZ"/>
        </w:rPr>
      </w:pPr>
    </w:p>
    <w:p w14:paraId="39A8C9BE" w14:textId="59515D07" w:rsidR="004A4456" w:rsidRPr="006B5B74" w:rsidRDefault="009962CB" w:rsidP="002C4E3B">
      <w:pPr>
        <w:spacing w:after="0" w:line="252" w:lineRule="auto"/>
        <w:contextualSpacing/>
        <w:jc w:val="both"/>
        <w:rPr>
          <w:rFonts w:cstheme="minorHAnsi"/>
          <w:sz w:val="24"/>
          <w:szCs w:val="24"/>
        </w:rPr>
      </w:pPr>
      <w:bookmarkStart w:id="16" w:name="_Hlk177357600"/>
      <w:r w:rsidRPr="002C4E3B">
        <w:rPr>
          <w:rFonts w:cstheme="minorHAnsi"/>
          <w:sz w:val="24"/>
          <w:szCs w:val="24"/>
        </w:rPr>
        <w:t xml:space="preserve">3.2 Při kontrole MD se NKÚ zaměřil na </w:t>
      </w:r>
      <w:bookmarkEnd w:id="16"/>
      <w:r w:rsidR="004A4456" w:rsidRPr="002C4E3B">
        <w:rPr>
          <w:rFonts w:eastAsia="Arial Unicode MS" w:cstheme="minorHAnsi"/>
          <w:bCs/>
          <w:sz w:val="24"/>
          <w:szCs w:val="24"/>
          <w:lang w:eastAsia="cs-CZ"/>
        </w:rPr>
        <w:t xml:space="preserve">jeho koncepční, </w:t>
      </w:r>
      <w:r w:rsidR="004A4456" w:rsidRPr="002C4E3B">
        <w:rPr>
          <w:rFonts w:cstheme="minorHAnsi"/>
          <w:sz w:val="24"/>
          <w:szCs w:val="24"/>
        </w:rPr>
        <w:t xml:space="preserve">řídicí a kontrolní </w:t>
      </w:r>
      <w:r w:rsidR="004A4456" w:rsidRPr="002C4E3B">
        <w:rPr>
          <w:rFonts w:eastAsia="Arial Unicode MS" w:cstheme="minorHAnsi"/>
          <w:bCs/>
          <w:sz w:val="24"/>
          <w:szCs w:val="24"/>
          <w:lang w:eastAsia="cs-CZ"/>
        </w:rPr>
        <w:t>činnost v této oblasti</w:t>
      </w:r>
      <w:r w:rsidR="002A3866">
        <w:rPr>
          <w:rFonts w:eastAsia="Arial Unicode MS" w:cstheme="minorHAnsi"/>
          <w:bCs/>
          <w:sz w:val="24"/>
          <w:szCs w:val="24"/>
          <w:lang w:eastAsia="cs-CZ"/>
        </w:rPr>
        <w:t>.</w:t>
      </w:r>
      <w:r w:rsidR="004A4456" w:rsidRPr="002C4E3B">
        <w:rPr>
          <w:rFonts w:eastAsia="Arial Unicode MS" w:cstheme="minorHAnsi"/>
          <w:bCs/>
          <w:sz w:val="24"/>
          <w:szCs w:val="24"/>
          <w:lang w:eastAsia="cs-CZ"/>
        </w:rPr>
        <w:t xml:space="preserve"> Při kontrole ŘSD prověřil pořizování a zajiš</w:t>
      </w:r>
      <w:r w:rsidR="00382E8B">
        <w:rPr>
          <w:rFonts w:eastAsia="Arial Unicode MS" w:cstheme="minorHAnsi"/>
          <w:bCs/>
          <w:sz w:val="24"/>
          <w:szCs w:val="24"/>
          <w:lang w:eastAsia="cs-CZ"/>
        </w:rPr>
        <w:t>ťování</w:t>
      </w:r>
      <w:r w:rsidR="004A4456" w:rsidRPr="002C4E3B">
        <w:rPr>
          <w:rFonts w:eastAsia="Arial Unicode MS" w:cstheme="minorHAnsi"/>
          <w:bCs/>
          <w:sz w:val="24"/>
          <w:szCs w:val="24"/>
          <w:lang w:eastAsia="cs-CZ"/>
        </w:rPr>
        <w:t xml:space="preserve"> provozu systémů </w:t>
      </w:r>
      <w:r w:rsidR="00E107CE" w:rsidRPr="002C4E3B">
        <w:rPr>
          <w:rFonts w:eastAsia="Arial Unicode MS" w:cstheme="minorHAnsi"/>
          <w:bCs/>
          <w:sz w:val="24"/>
          <w:szCs w:val="24"/>
          <w:lang w:eastAsia="cs-CZ"/>
        </w:rPr>
        <w:t>VKV</w:t>
      </w:r>
      <w:r w:rsidR="004A4456" w:rsidRPr="002C4E3B">
        <w:rPr>
          <w:rFonts w:eastAsia="Arial Unicode MS" w:cstheme="minorHAnsi"/>
          <w:bCs/>
          <w:sz w:val="24"/>
          <w:szCs w:val="24"/>
          <w:lang w:eastAsia="cs-CZ"/>
        </w:rPr>
        <w:t xml:space="preserve"> a </w:t>
      </w:r>
      <w:r w:rsidR="00E107CE" w:rsidRPr="002C4E3B">
        <w:rPr>
          <w:rFonts w:eastAsia="Arial Unicode MS" w:cstheme="minorHAnsi"/>
          <w:bCs/>
          <w:sz w:val="24"/>
          <w:szCs w:val="24"/>
          <w:lang w:eastAsia="cs-CZ"/>
        </w:rPr>
        <w:t>NKV</w:t>
      </w:r>
      <w:r w:rsidR="004A4456" w:rsidRPr="002C4E3B">
        <w:rPr>
          <w:rFonts w:eastAsia="Arial Unicode MS" w:cstheme="minorHAnsi"/>
          <w:bCs/>
          <w:sz w:val="24"/>
          <w:szCs w:val="24"/>
          <w:lang w:eastAsia="cs-CZ"/>
        </w:rPr>
        <w:t>. Při kontrole</w:t>
      </w:r>
      <w:r w:rsidR="004A4456" w:rsidRPr="002C4E3B">
        <w:rPr>
          <w:rFonts w:cstheme="minorHAnsi"/>
          <w:sz w:val="24"/>
          <w:szCs w:val="24"/>
        </w:rPr>
        <w:t xml:space="preserve"> SFDI se NKÚ zaměřil na jeho příjmy z pokut uložených v souvislosti s kontrolním vážením.</w:t>
      </w:r>
      <w:r w:rsidR="006B5B74">
        <w:rPr>
          <w:rFonts w:cstheme="minorHAnsi"/>
          <w:sz w:val="24"/>
          <w:szCs w:val="24"/>
        </w:rPr>
        <w:t xml:space="preserve"> </w:t>
      </w:r>
      <w:r w:rsidR="006B5B74" w:rsidRPr="006B5B74">
        <w:rPr>
          <w:rFonts w:cstheme="minorHAnsi"/>
          <w:sz w:val="24"/>
          <w:szCs w:val="24"/>
        </w:rPr>
        <w:t xml:space="preserve">NKÚ především zjišťoval a vyhodnocoval, nakolik systém kontrolního vážení plní svou represivní </w:t>
      </w:r>
      <w:r w:rsidR="0028088D">
        <w:rPr>
          <w:rFonts w:cstheme="minorHAnsi"/>
          <w:sz w:val="24"/>
          <w:szCs w:val="24"/>
        </w:rPr>
        <w:br/>
      </w:r>
      <w:r w:rsidR="006B5B74" w:rsidRPr="006B5B74">
        <w:rPr>
          <w:rFonts w:cstheme="minorHAnsi"/>
          <w:sz w:val="24"/>
          <w:szCs w:val="24"/>
        </w:rPr>
        <w:t xml:space="preserve">a preventivní funkci, </w:t>
      </w:r>
      <w:r w:rsidR="00382E8B">
        <w:rPr>
          <w:rFonts w:cstheme="minorHAnsi"/>
          <w:sz w:val="24"/>
          <w:szCs w:val="24"/>
        </w:rPr>
        <w:t>tj. zda</w:t>
      </w:r>
      <w:r w:rsidR="006B5B74" w:rsidRPr="006B5B74">
        <w:rPr>
          <w:rFonts w:cstheme="minorHAnsi"/>
          <w:sz w:val="24"/>
          <w:szCs w:val="24"/>
        </w:rPr>
        <w:t xml:space="preserve"> slouží ke zjišťování, dokument</w:t>
      </w:r>
      <w:r w:rsidR="00382E8B">
        <w:rPr>
          <w:rFonts w:cstheme="minorHAnsi"/>
          <w:sz w:val="24"/>
          <w:szCs w:val="24"/>
        </w:rPr>
        <w:t>ování</w:t>
      </w:r>
      <w:r w:rsidR="006B5B74" w:rsidRPr="006B5B74">
        <w:rPr>
          <w:rFonts w:cstheme="minorHAnsi"/>
          <w:sz w:val="24"/>
          <w:szCs w:val="24"/>
        </w:rPr>
        <w:t xml:space="preserve"> a postihování </w:t>
      </w:r>
      <w:r w:rsidR="00814AD9">
        <w:rPr>
          <w:rFonts w:cstheme="minorHAnsi"/>
          <w:sz w:val="24"/>
          <w:szCs w:val="24"/>
        </w:rPr>
        <w:t>vážních deliktů</w:t>
      </w:r>
      <w:r w:rsidR="006B5B74" w:rsidRPr="006B5B74">
        <w:rPr>
          <w:rFonts w:cstheme="minorHAnsi"/>
          <w:sz w:val="24"/>
          <w:szCs w:val="24"/>
        </w:rPr>
        <w:t xml:space="preserve"> především </w:t>
      </w:r>
      <w:r w:rsidR="00814AD9">
        <w:rPr>
          <w:rFonts w:cstheme="minorHAnsi"/>
          <w:sz w:val="24"/>
          <w:szCs w:val="24"/>
        </w:rPr>
        <w:t xml:space="preserve">u </w:t>
      </w:r>
      <w:r w:rsidR="006B5B74" w:rsidRPr="006B5B74">
        <w:rPr>
          <w:rFonts w:cstheme="minorHAnsi"/>
          <w:sz w:val="24"/>
          <w:szCs w:val="24"/>
        </w:rPr>
        <w:t>těžký</w:t>
      </w:r>
      <w:r w:rsidR="00814AD9">
        <w:rPr>
          <w:rFonts w:cstheme="minorHAnsi"/>
          <w:sz w:val="24"/>
          <w:szCs w:val="24"/>
        </w:rPr>
        <w:t>ch</w:t>
      </w:r>
      <w:r w:rsidR="006B5B74" w:rsidRPr="006B5B74">
        <w:rPr>
          <w:rFonts w:cstheme="minorHAnsi"/>
          <w:sz w:val="24"/>
          <w:szCs w:val="24"/>
        </w:rPr>
        <w:t xml:space="preserve"> nákladní</w:t>
      </w:r>
      <w:r w:rsidR="00814AD9">
        <w:rPr>
          <w:rFonts w:cstheme="minorHAnsi"/>
          <w:sz w:val="24"/>
          <w:szCs w:val="24"/>
        </w:rPr>
        <w:t>ch</w:t>
      </w:r>
      <w:r w:rsidR="006B5B74" w:rsidRPr="006B5B74">
        <w:rPr>
          <w:rFonts w:cstheme="minorHAnsi"/>
          <w:sz w:val="24"/>
          <w:szCs w:val="24"/>
        </w:rPr>
        <w:t xml:space="preserve"> vozid</w:t>
      </w:r>
      <w:r w:rsidR="00814AD9">
        <w:rPr>
          <w:rFonts w:cstheme="minorHAnsi"/>
          <w:sz w:val="24"/>
          <w:szCs w:val="24"/>
        </w:rPr>
        <w:t>el</w:t>
      </w:r>
      <w:r w:rsidR="006B5B74" w:rsidRPr="006B5B74">
        <w:rPr>
          <w:rFonts w:cstheme="minorHAnsi"/>
          <w:sz w:val="24"/>
          <w:szCs w:val="24"/>
        </w:rPr>
        <w:t xml:space="preserve"> a </w:t>
      </w:r>
      <w:r w:rsidR="00382E8B">
        <w:rPr>
          <w:rFonts w:cstheme="minorHAnsi"/>
          <w:sz w:val="24"/>
          <w:szCs w:val="24"/>
        </w:rPr>
        <w:t xml:space="preserve">zda </w:t>
      </w:r>
      <w:r w:rsidR="006B5B74" w:rsidRPr="006B5B74">
        <w:rPr>
          <w:rFonts w:cstheme="minorHAnsi"/>
          <w:sz w:val="24"/>
          <w:szCs w:val="24"/>
        </w:rPr>
        <w:t>odrazuje řidiče a provozovatele těchto vozidel od překračování hmotnostních limitů.</w:t>
      </w:r>
    </w:p>
    <w:p w14:paraId="1B505BB0" w14:textId="77777777" w:rsidR="004A60EB" w:rsidRPr="002C4E3B" w:rsidRDefault="004A60EB" w:rsidP="002C4E3B">
      <w:pPr>
        <w:spacing w:after="0" w:line="252" w:lineRule="auto"/>
        <w:contextualSpacing/>
        <w:jc w:val="both"/>
        <w:rPr>
          <w:rFonts w:cstheme="minorHAnsi"/>
          <w:sz w:val="24"/>
          <w:szCs w:val="24"/>
        </w:rPr>
      </w:pPr>
    </w:p>
    <w:p w14:paraId="74DA245C" w14:textId="144A3A9D" w:rsidR="0055363C" w:rsidRPr="002C4E3B" w:rsidRDefault="009962CB" w:rsidP="002C4E3B">
      <w:pPr>
        <w:spacing w:after="0" w:line="252" w:lineRule="auto"/>
        <w:contextualSpacing/>
        <w:jc w:val="both"/>
        <w:rPr>
          <w:rFonts w:cstheme="minorHAnsi"/>
          <w:sz w:val="24"/>
          <w:szCs w:val="24"/>
        </w:rPr>
      </w:pPr>
      <w:r w:rsidRPr="002C4E3B">
        <w:rPr>
          <w:rFonts w:cstheme="minorHAnsi"/>
          <w:sz w:val="24"/>
          <w:szCs w:val="24"/>
        </w:rPr>
        <w:t xml:space="preserve">3.3 </w:t>
      </w:r>
      <w:bookmarkStart w:id="17" w:name="_Hlk178142485"/>
      <w:r w:rsidR="006C0201" w:rsidRPr="002C4E3B">
        <w:rPr>
          <w:rFonts w:cstheme="minorHAnsi"/>
          <w:sz w:val="24"/>
          <w:szCs w:val="24"/>
        </w:rPr>
        <w:t xml:space="preserve">Kontrolou </w:t>
      </w:r>
      <w:r w:rsidR="00382E8B">
        <w:rPr>
          <w:rFonts w:cstheme="minorHAnsi"/>
          <w:sz w:val="24"/>
          <w:szCs w:val="24"/>
        </w:rPr>
        <w:t>byly</w:t>
      </w:r>
      <w:r w:rsidR="00382E8B" w:rsidRPr="002C4E3B">
        <w:rPr>
          <w:rFonts w:cstheme="minorHAnsi"/>
          <w:sz w:val="24"/>
          <w:szCs w:val="24"/>
        </w:rPr>
        <w:t xml:space="preserve"> </w:t>
      </w:r>
      <w:r w:rsidR="006C0201" w:rsidRPr="002C4E3B">
        <w:rPr>
          <w:rFonts w:cstheme="minorHAnsi"/>
          <w:sz w:val="24"/>
          <w:szCs w:val="24"/>
        </w:rPr>
        <w:t>prověř</w:t>
      </w:r>
      <w:r w:rsidR="00382E8B">
        <w:rPr>
          <w:rFonts w:cstheme="minorHAnsi"/>
          <w:sz w:val="24"/>
          <w:szCs w:val="24"/>
        </w:rPr>
        <w:t>eny</w:t>
      </w:r>
      <w:r w:rsidR="006C0201" w:rsidRPr="002C4E3B">
        <w:rPr>
          <w:rFonts w:cstheme="minorHAnsi"/>
          <w:sz w:val="24"/>
          <w:szCs w:val="24"/>
        </w:rPr>
        <w:t xml:space="preserve"> peněžní prostředky státu v celkové výši </w:t>
      </w:r>
      <w:r w:rsidR="006C0201" w:rsidRPr="002C4E3B">
        <w:rPr>
          <w:rFonts w:cstheme="minorHAnsi"/>
          <w:color w:val="000000"/>
          <w:sz w:val="24"/>
          <w:szCs w:val="24"/>
        </w:rPr>
        <w:t>111,1</w:t>
      </w:r>
      <w:r w:rsidR="00897566">
        <w:rPr>
          <w:rFonts w:cstheme="minorHAnsi"/>
          <w:color w:val="000000"/>
          <w:sz w:val="24"/>
          <w:szCs w:val="24"/>
        </w:rPr>
        <w:t>2</w:t>
      </w:r>
      <w:r w:rsidR="006C0201" w:rsidRPr="002C4E3B">
        <w:rPr>
          <w:rFonts w:cstheme="minorHAnsi"/>
          <w:color w:val="000000"/>
          <w:sz w:val="24"/>
          <w:szCs w:val="24"/>
        </w:rPr>
        <w:t xml:space="preserve"> mil. Kč</w:t>
      </w:r>
      <w:r w:rsidR="006C0201" w:rsidRPr="002C4E3B">
        <w:rPr>
          <w:rFonts w:cstheme="minorHAnsi"/>
          <w:sz w:val="24"/>
          <w:szCs w:val="24"/>
        </w:rPr>
        <w:t xml:space="preserve">, které použilo ŘSD </w:t>
      </w:r>
      <w:r w:rsidR="006C0201" w:rsidRPr="002C4E3B">
        <w:rPr>
          <w:rFonts w:eastAsia="Arial Unicode MS" w:cstheme="minorHAnsi"/>
          <w:bCs/>
          <w:sz w:val="24"/>
          <w:szCs w:val="24"/>
          <w:lang w:eastAsia="cs-CZ"/>
        </w:rPr>
        <w:t xml:space="preserve">na </w:t>
      </w:r>
      <w:r w:rsidR="006C0201" w:rsidRPr="002C4E3B">
        <w:rPr>
          <w:rFonts w:cstheme="minorHAnsi"/>
          <w:sz w:val="24"/>
          <w:szCs w:val="24"/>
        </w:rPr>
        <w:t xml:space="preserve">pořízení a provoz zařízení pro </w:t>
      </w:r>
      <w:r w:rsidR="00D3355A" w:rsidRPr="002C4E3B">
        <w:rPr>
          <w:rFonts w:cstheme="minorHAnsi"/>
          <w:sz w:val="24"/>
          <w:szCs w:val="24"/>
        </w:rPr>
        <w:t>VKV</w:t>
      </w:r>
      <w:r w:rsidR="006C0201" w:rsidRPr="002C4E3B">
        <w:rPr>
          <w:rFonts w:cstheme="minorHAnsi"/>
          <w:color w:val="000000"/>
          <w:sz w:val="24"/>
          <w:szCs w:val="24"/>
        </w:rPr>
        <w:t>. Objem peněžních prostředků stát</w:t>
      </w:r>
      <w:r w:rsidR="00D3355A" w:rsidRPr="002C4E3B">
        <w:rPr>
          <w:rFonts w:cstheme="minorHAnsi"/>
          <w:color w:val="000000"/>
          <w:sz w:val="24"/>
          <w:szCs w:val="24"/>
        </w:rPr>
        <w:t>u</w:t>
      </w:r>
      <w:r w:rsidR="006C0201" w:rsidRPr="002C4E3B">
        <w:rPr>
          <w:rFonts w:cstheme="minorHAnsi"/>
          <w:color w:val="000000"/>
          <w:sz w:val="24"/>
          <w:szCs w:val="24"/>
        </w:rPr>
        <w:t xml:space="preserve"> použitých </w:t>
      </w:r>
      <w:r w:rsidR="00D3355A" w:rsidRPr="002C4E3B">
        <w:rPr>
          <w:rFonts w:cstheme="minorHAnsi"/>
          <w:color w:val="000000"/>
          <w:sz w:val="24"/>
          <w:szCs w:val="24"/>
        </w:rPr>
        <w:t xml:space="preserve">v kontrolovaném období </w:t>
      </w:r>
      <w:r w:rsidR="006C0201" w:rsidRPr="002C4E3B">
        <w:rPr>
          <w:rFonts w:cstheme="minorHAnsi"/>
          <w:color w:val="000000"/>
          <w:sz w:val="24"/>
          <w:szCs w:val="24"/>
        </w:rPr>
        <w:t xml:space="preserve">na </w:t>
      </w:r>
      <w:r w:rsidR="00E107CE" w:rsidRPr="002C4E3B">
        <w:rPr>
          <w:rFonts w:cstheme="minorHAnsi"/>
          <w:color w:val="000000"/>
          <w:sz w:val="24"/>
          <w:szCs w:val="24"/>
        </w:rPr>
        <w:t xml:space="preserve">NKV </w:t>
      </w:r>
      <w:r w:rsidR="006C0201" w:rsidRPr="002C4E3B">
        <w:rPr>
          <w:rFonts w:cstheme="minorHAnsi"/>
          <w:color w:val="000000"/>
          <w:sz w:val="24"/>
          <w:szCs w:val="24"/>
        </w:rPr>
        <w:t>nebylo možno zjistit</w:t>
      </w:r>
      <w:r w:rsidR="00C74413">
        <w:rPr>
          <w:rFonts w:cstheme="minorHAnsi"/>
          <w:color w:val="000000"/>
          <w:sz w:val="24"/>
          <w:szCs w:val="24"/>
        </w:rPr>
        <w:t>, neboť MD ani ŘSD o nich nemají přesný přehled.</w:t>
      </w:r>
      <w:r w:rsidR="006C0201" w:rsidRPr="002C4E3B">
        <w:rPr>
          <w:rFonts w:cstheme="minorHAnsi"/>
          <w:color w:val="000000"/>
          <w:sz w:val="24"/>
          <w:szCs w:val="24"/>
        </w:rPr>
        <w:t xml:space="preserve"> </w:t>
      </w:r>
      <w:bookmarkEnd w:id="17"/>
      <w:r w:rsidR="0055363C" w:rsidRPr="002C4E3B">
        <w:rPr>
          <w:rFonts w:cstheme="minorHAnsi"/>
          <w:color w:val="000000"/>
          <w:sz w:val="24"/>
          <w:szCs w:val="24"/>
        </w:rPr>
        <w:t xml:space="preserve">NKÚ </w:t>
      </w:r>
      <w:r w:rsidR="0055363C">
        <w:rPr>
          <w:rFonts w:cstheme="minorHAnsi"/>
          <w:color w:val="000000"/>
          <w:sz w:val="24"/>
          <w:szCs w:val="24"/>
        </w:rPr>
        <w:t>dál</w:t>
      </w:r>
      <w:r w:rsidR="00D76DF9">
        <w:rPr>
          <w:rFonts w:cstheme="minorHAnsi"/>
          <w:color w:val="000000"/>
          <w:sz w:val="24"/>
          <w:szCs w:val="24"/>
        </w:rPr>
        <w:t>e</w:t>
      </w:r>
      <w:r w:rsidR="0055363C">
        <w:rPr>
          <w:rFonts w:cstheme="minorHAnsi"/>
          <w:color w:val="000000"/>
          <w:sz w:val="24"/>
          <w:szCs w:val="24"/>
        </w:rPr>
        <w:t xml:space="preserve"> </w:t>
      </w:r>
      <w:r w:rsidR="0055363C" w:rsidRPr="002C4E3B">
        <w:rPr>
          <w:rFonts w:cstheme="minorHAnsi"/>
          <w:color w:val="000000"/>
          <w:sz w:val="24"/>
          <w:szCs w:val="24"/>
        </w:rPr>
        <w:t xml:space="preserve">prověřil příjmy SFDI z pokut z kontrolního vážení v celkové výši </w:t>
      </w:r>
      <w:r w:rsidR="002160B3">
        <w:rPr>
          <w:sz w:val="24"/>
          <w:szCs w:val="24"/>
        </w:rPr>
        <w:t xml:space="preserve">93,50 </w:t>
      </w:r>
      <w:r w:rsidR="0055363C" w:rsidRPr="002C4E3B">
        <w:rPr>
          <w:rFonts w:cstheme="minorHAnsi"/>
          <w:color w:val="000000"/>
          <w:sz w:val="24"/>
          <w:szCs w:val="24"/>
        </w:rPr>
        <w:t>mil. Kč</w:t>
      </w:r>
      <w:r w:rsidR="00C84BE2" w:rsidRPr="002C4E3B">
        <w:rPr>
          <w:rFonts w:cstheme="minorHAnsi"/>
          <w:color w:val="000000"/>
          <w:sz w:val="24"/>
          <w:szCs w:val="24"/>
        </w:rPr>
        <w:t xml:space="preserve">, z toho </w:t>
      </w:r>
      <w:r w:rsidR="002160B3">
        <w:rPr>
          <w:rFonts w:cstheme="minorHAnsi"/>
          <w:color w:val="000000"/>
          <w:sz w:val="24"/>
          <w:szCs w:val="24"/>
        </w:rPr>
        <w:t>21</w:t>
      </w:r>
      <w:r w:rsidR="00C84BE2" w:rsidRPr="002C4E3B">
        <w:rPr>
          <w:rFonts w:cstheme="minorHAnsi"/>
          <w:color w:val="000000"/>
          <w:sz w:val="24"/>
          <w:szCs w:val="24"/>
        </w:rPr>
        <w:t>,</w:t>
      </w:r>
      <w:r w:rsidR="002160B3">
        <w:rPr>
          <w:rFonts w:cstheme="minorHAnsi"/>
          <w:color w:val="000000"/>
          <w:sz w:val="24"/>
          <w:szCs w:val="24"/>
        </w:rPr>
        <w:t>13</w:t>
      </w:r>
      <w:r w:rsidR="00C84BE2" w:rsidRPr="002C4E3B">
        <w:rPr>
          <w:rFonts w:cstheme="minorHAnsi"/>
          <w:color w:val="000000"/>
          <w:sz w:val="24"/>
          <w:szCs w:val="24"/>
        </w:rPr>
        <w:t xml:space="preserve"> mil. Kč z VKV</w:t>
      </w:r>
      <w:r w:rsidR="0055363C" w:rsidRPr="002C4E3B">
        <w:rPr>
          <w:rFonts w:cstheme="minorHAnsi"/>
          <w:color w:val="000000"/>
          <w:sz w:val="24"/>
          <w:szCs w:val="24"/>
        </w:rPr>
        <w:t>.</w:t>
      </w:r>
      <w:r w:rsidR="0055363C" w:rsidRPr="002C4E3B">
        <w:rPr>
          <w:rFonts w:cstheme="minorHAnsi"/>
          <w:sz w:val="24"/>
          <w:szCs w:val="24"/>
        </w:rPr>
        <w:t xml:space="preserve"> </w:t>
      </w:r>
    </w:p>
    <w:p w14:paraId="6FB1CAD1" w14:textId="77777777" w:rsidR="00912AAE" w:rsidRDefault="00912AAE" w:rsidP="00912AAE">
      <w:pPr>
        <w:spacing w:after="0" w:line="252" w:lineRule="auto"/>
        <w:contextualSpacing/>
        <w:jc w:val="both"/>
        <w:rPr>
          <w:rFonts w:cstheme="minorHAnsi"/>
          <w:b/>
          <w:sz w:val="24"/>
          <w:szCs w:val="24"/>
        </w:rPr>
      </w:pPr>
    </w:p>
    <w:p w14:paraId="12BE9543" w14:textId="0A413EA9" w:rsidR="00912AAE" w:rsidRDefault="00912AAE" w:rsidP="00912AAE">
      <w:pPr>
        <w:spacing w:after="0" w:line="252" w:lineRule="auto"/>
        <w:contextualSpacing/>
        <w:jc w:val="both"/>
        <w:rPr>
          <w:rFonts w:cstheme="minorHAnsi"/>
          <w:sz w:val="24"/>
          <w:szCs w:val="24"/>
        </w:rPr>
      </w:pPr>
      <w:r w:rsidRPr="00912AAE">
        <w:rPr>
          <w:rFonts w:cstheme="minorHAnsi"/>
          <w:sz w:val="24"/>
          <w:szCs w:val="24"/>
        </w:rPr>
        <w:t>3.4 Hospodárností</w:t>
      </w:r>
      <w:r>
        <w:rPr>
          <w:rFonts w:cstheme="minorHAnsi"/>
          <w:sz w:val="24"/>
          <w:szCs w:val="24"/>
        </w:rPr>
        <w:t xml:space="preserve"> se rozumí</w:t>
      </w:r>
      <w:r w:rsidRPr="002C4E3B">
        <w:rPr>
          <w:rFonts w:cstheme="minorHAnsi"/>
          <w:sz w:val="24"/>
          <w:szCs w:val="24"/>
        </w:rPr>
        <w:t xml:space="preserve"> </w:t>
      </w:r>
      <w:r w:rsidRPr="00A2299C">
        <w:rPr>
          <w:rFonts w:cstheme="minorHAnsi"/>
          <w:sz w:val="24"/>
          <w:szCs w:val="24"/>
        </w:rPr>
        <w:t>takové použití veřejných prostředků k zajištění stanovených úkolů s co nejnižším vynaložením těchto prostředků, a to při dodržení odpovídající kvality plněných úkolů</w:t>
      </w:r>
      <w:r w:rsidR="00382E8B">
        <w:rPr>
          <w:rFonts w:cstheme="minorHAnsi"/>
          <w:sz w:val="24"/>
          <w:szCs w:val="24"/>
        </w:rPr>
        <w:t>.</w:t>
      </w:r>
      <w:r w:rsidRPr="002C4E3B">
        <w:rPr>
          <w:rStyle w:val="Znakapoznpodarou"/>
          <w:rFonts w:cstheme="minorHAnsi"/>
          <w:sz w:val="24"/>
          <w:szCs w:val="24"/>
        </w:rPr>
        <w:footnoteReference w:id="22"/>
      </w:r>
      <w:r w:rsidRPr="00A2299C">
        <w:rPr>
          <w:rFonts w:cstheme="minorHAnsi"/>
          <w:sz w:val="24"/>
          <w:szCs w:val="24"/>
        </w:rPr>
        <w:t xml:space="preserve"> NKÚ považuje za hospodárné </w:t>
      </w:r>
      <w:r>
        <w:rPr>
          <w:rFonts w:cstheme="minorHAnsi"/>
          <w:sz w:val="24"/>
          <w:szCs w:val="24"/>
        </w:rPr>
        <w:t xml:space="preserve">takové vynaložení peněžních prostředků státu na </w:t>
      </w:r>
      <w:r w:rsidRPr="002C4E3B">
        <w:rPr>
          <w:rFonts w:cstheme="minorHAnsi"/>
          <w:sz w:val="24"/>
          <w:szCs w:val="24"/>
        </w:rPr>
        <w:t>systém kontrolního vážení</w:t>
      </w:r>
      <w:r>
        <w:rPr>
          <w:rFonts w:cstheme="minorHAnsi"/>
          <w:sz w:val="24"/>
          <w:szCs w:val="24"/>
        </w:rPr>
        <w:t>, které zajistí, aby</w:t>
      </w:r>
      <w:r w:rsidRPr="002C4E3B">
        <w:rPr>
          <w:rFonts w:cstheme="minorHAnsi"/>
          <w:sz w:val="24"/>
          <w:szCs w:val="24"/>
        </w:rPr>
        <w:t xml:space="preserve"> </w:t>
      </w:r>
      <w:r>
        <w:rPr>
          <w:rFonts w:cstheme="minorHAnsi"/>
          <w:sz w:val="24"/>
          <w:szCs w:val="24"/>
        </w:rPr>
        <w:t xml:space="preserve">tento systém </w:t>
      </w:r>
      <w:r w:rsidRPr="002C4E3B">
        <w:rPr>
          <w:rFonts w:cstheme="minorHAnsi"/>
          <w:sz w:val="24"/>
          <w:szCs w:val="24"/>
        </w:rPr>
        <w:t xml:space="preserve">byl pořízen a provozován </w:t>
      </w:r>
      <w:r w:rsidRPr="00A2299C">
        <w:rPr>
          <w:rFonts w:cstheme="minorHAnsi"/>
          <w:sz w:val="24"/>
          <w:szCs w:val="24"/>
        </w:rPr>
        <w:t>s co nejnižšími náklady při dodržení odpovídající kvality plněných úkolů</w:t>
      </w:r>
      <w:r w:rsidRPr="002C4E3B">
        <w:rPr>
          <w:rFonts w:cstheme="minorHAnsi"/>
          <w:sz w:val="24"/>
          <w:szCs w:val="24"/>
        </w:rPr>
        <w:t>, tzn. funkcionalit nezbytných pro účinný provoz.</w:t>
      </w:r>
    </w:p>
    <w:p w14:paraId="3470DD05" w14:textId="77777777" w:rsidR="00912AAE" w:rsidRPr="00912AAE" w:rsidRDefault="00912AAE" w:rsidP="00912AAE">
      <w:pPr>
        <w:spacing w:after="0" w:line="252" w:lineRule="auto"/>
        <w:contextualSpacing/>
        <w:jc w:val="both"/>
        <w:rPr>
          <w:rFonts w:cstheme="minorHAnsi"/>
          <w:sz w:val="24"/>
          <w:szCs w:val="24"/>
        </w:rPr>
      </w:pPr>
    </w:p>
    <w:p w14:paraId="68DBCCB3" w14:textId="19887A2A" w:rsidR="00912AAE" w:rsidRPr="002C4E3B" w:rsidRDefault="00912AAE" w:rsidP="00912AAE">
      <w:pPr>
        <w:spacing w:after="0" w:line="252" w:lineRule="auto"/>
        <w:contextualSpacing/>
        <w:jc w:val="both"/>
        <w:rPr>
          <w:rFonts w:cstheme="minorHAnsi"/>
          <w:sz w:val="24"/>
          <w:szCs w:val="24"/>
        </w:rPr>
      </w:pPr>
      <w:r>
        <w:rPr>
          <w:rFonts w:cstheme="minorHAnsi"/>
          <w:sz w:val="24"/>
          <w:szCs w:val="24"/>
        </w:rPr>
        <w:t xml:space="preserve">3.5 </w:t>
      </w:r>
      <w:r w:rsidRPr="00912AAE">
        <w:rPr>
          <w:rFonts w:cstheme="minorHAnsi"/>
          <w:sz w:val="24"/>
          <w:szCs w:val="24"/>
        </w:rPr>
        <w:t>Efektivností</w:t>
      </w:r>
      <w:r>
        <w:rPr>
          <w:rFonts w:cstheme="minorHAnsi"/>
          <w:sz w:val="24"/>
          <w:szCs w:val="24"/>
        </w:rPr>
        <w:t xml:space="preserve"> se rozumí </w:t>
      </w:r>
      <w:r w:rsidRPr="00A2299C">
        <w:rPr>
          <w:rFonts w:cstheme="minorHAnsi"/>
          <w:sz w:val="24"/>
          <w:szCs w:val="24"/>
        </w:rPr>
        <w:t xml:space="preserve">takové použití veřejných prostředků, kterým se dosáhne nejvýše možného rozsahu, kvality a přínosu plněných úkolů ve srovnání s objemem prostředků </w:t>
      </w:r>
      <w:r w:rsidRPr="00A2299C">
        <w:rPr>
          <w:rFonts w:cstheme="minorHAnsi"/>
          <w:sz w:val="24"/>
          <w:szCs w:val="24"/>
        </w:rPr>
        <w:lastRenderedPageBreak/>
        <w:t>vynaložených na jejich plnění</w:t>
      </w:r>
      <w:r w:rsidR="00382E8B">
        <w:rPr>
          <w:rFonts w:cstheme="minorHAnsi"/>
          <w:sz w:val="24"/>
          <w:szCs w:val="24"/>
        </w:rPr>
        <w:t>.</w:t>
      </w:r>
      <w:r w:rsidR="005E4AD6">
        <w:rPr>
          <w:rStyle w:val="Znakapoznpodarou"/>
          <w:rFonts w:cstheme="minorHAnsi"/>
          <w:sz w:val="24"/>
          <w:szCs w:val="24"/>
        </w:rPr>
        <w:footnoteReference w:id="23"/>
      </w:r>
      <w:r w:rsidRPr="00F2333C">
        <w:rPr>
          <w:rFonts w:cstheme="minorHAnsi"/>
          <w:sz w:val="24"/>
          <w:szCs w:val="24"/>
        </w:rPr>
        <w:t xml:space="preserve"> </w:t>
      </w:r>
      <w:r w:rsidRPr="00A2299C">
        <w:rPr>
          <w:rFonts w:cstheme="minorHAnsi"/>
          <w:sz w:val="24"/>
          <w:szCs w:val="24"/>
        </w:rPr>
        <w:t xml:space="preserve">NKÚ považuje za </w:t>
      </w:r>
      <w:r>
        <w:rPr>
          <w:rFonts w:cstheme="minorHAnsi"/>
          <w:sz w:val="24"/>
          <w:szCs w:val="24"/>
        </w:rPr>
        <w:t>efektivní</w:t>
      </w:r>
      <w:r w:rsidRPr="00A2299C">
        <w:rPr>
          <w:rFonts w:cstheme="minorHAnsi"/>
          <w:sz w:val="24"/>
          <w:szCs w:val="24"/>
        </w:rPr>
        <w:t xml:space="preserve"> </w:t>
      </w:r>
      <w:r>
        <w:rPr>
          <w:rFonts w:cstheme="minorHAnsi"/>
          <w:sz w:val="24"/>
          <w:szCs w:val="24"/>
        </w:rPr>
        <w:t xml:space="preserve">takové vynaložení peněžních prostředků státu na </w:t>
      </w:r>
      <w:r w:rsidRPr="002C4E3B">
        <w:rPr>
          <w:rFonts w:cstheme="minorHAnsi"/>
          <w:sz w:val="24"/>
          <w:szCs w:val="24"/>
        </w:rPr>
        <w:t>systém kontrolního vážení</w:t>
      </w:r>
      <w:r>
        <w:rPr>
          <w:rFonts w:cstheme="minorHAnsi"/>
          <w:sz w:val="24"/>
          <w:szCs w:val="24"/>
        </w:rPr>
        <w:t>, které zajistí,</w:t>
      </w:r>
      <w:r w:rsidRPr="002C4E3B">
        <w:rPr>
          <w:rFonts w:cstheme="minorHAnsi"/>
          <w:sz w:val="24"/>
          <w:szCs w:val="24"/>
        </w:rPr>
        <w:t xml:space="preserve"> </w:t>
      </w:r>
      <w:r>
        <w:rPr>
          <w:rFonts w:cstheme="minorHAnsi"/>
          <w:sz w:val="24"/>
          <w:szCs w:val="24"/>
        </w:rPr>
        <w:t>aby</w:t>
      </w:r>
      <w:r w:rsidRPr="002C4E3B">
        <w:rPr>
          <w:rFonts w:cstheme="minorHAnsi"/>
          <w:sz w:val="24"/>
          <w:szCs w:val="24"/>
        </w:rPr>
        <w:t xml:space="preserve"> </w:t>
      </w:r>
      <w:r>
        <w:rPr>
          <w:rFonts w:cstheme="minorHAnsi"/>
          <w:sz w:val="24"/>
          <w:szCs w:val="24"/>
        </w:rPr>
        <w:t>tento systém v maximální možné míře řádně plnil</w:t>
      </w:r>
      <w:r w:rsidRPr="002C4E3B">
        <w:rPr>
          <w:rFonts w:cstheme="minorHAnsi"/>
          <w:sz w:val="24"/>
          <w:szCs w:val="24"/>
        </w:rPr>
        <w:t xml:space="preserve"> sv</w:t>
      </w:r>
      <w:r w:rsidR="009E4ED0">
        <w:rPr>
          <w:rFonts w:cstheme="minorHAnsi"/>
          <w:sz w:val="24"/>
          <w:szCs w:val="24"/>
        </w:rPr>
        <w:t>é</w:t>
      </w:r>
      <w:r w:rsidRPr="002C4E3B">
        <w:rPr>
          <w:rFonts w:cstheme="minorHAnsi"/>
          <w:sz w:val="24"/>
          <w:szCs w:val="24"/>
        </w:rPr>
        <w:t xml:space="preserve"> úkol</w:t>
      </w:r>
      <w:r w:rsidR="009E4ED0">
        <w:rPr>
          <w:rFonts w:cstheme="minorHAnsi"/>
          <w:sz w:val="24"/>
          <w:szCs w:val="24"/>
        </w:rPr>
        <w:t>y</w:t>
      </w:r>
      <w:r w:rsidRPr="002C4E3B">
        <w:rPr>
          <w:rFonts w:cstheme="minorHAnsi"/>
          <w:sz w:val="24"/>
          <w:szCs w:val="24"/>
        </w:rPr>
        <w:t>, tzn. především účinně zjišť</w:t>
      </w:r>
      <w:r>
        <w:rPr>
          <w:rFonts w:cstheme="minorHAnsi"/>
          <w:sz w:val="24"/>
          <w:szCs w:val="24"/>
        </w:rPr>
        <w:t>oval a dokumentoval</w:t>
      </w:r>
      <w:r w:rsidRPr="002C4E3B">
        <w:rPr>
          <w:rFonts w:cstheme="minorHAnsi"/>
          <w:sz w:val="24"/>
          <w:szCs w:val="24"/>
        </w:rPr>
        <w:t xml:space="preserve"> přetížená vozidla a </w:t>
      </w:r>
      <w:r>
        <w:rPr>
          <w:rFonts w:cstheme="minorHAnsi"/>
          <w:sz w:val="24"/>
          <w:szCs w:val="24"/>
        </w:rPr>
        <w:t>postihoval vážní delikty</w:t>
      </w:r>
      <w:r w:rsidRPr="002C4E3B">
        <w:rPr>
          <w:rFonts w:cstheme="minorHAnsi"/>
          <w:sz w:val="24"/>
          <w:szCs w:val="24"/>
        </w:rPr>
        <w:t xml:space="preserve">, a to v porovnání s náklady vynaloženými na vybudování </w:t>
      </w:r>
      <w:r w:rsidR="0028088D">
        <w:rPr>
          <w:rFonts w:cstheme="minorHAnsi"/>
          <w:sz w:val="24"/>
          <w:szCs w:val="24"/>
        </w:rPr>
        <w:br/>
      </w:r>
      <w:r w:rsidRPr="002C4E3B">
        <w:rPr>
          <w:rFonts w:cstheme="minorHAnsi"/>
          <w:sz w:val="24"/>
          <w:szCs w:val="24"/>
        </w:rPr>
        <w:t xml:space="preserve">a provoz </w:t>
      </w:r>
      <w:r>
        <w:rPr>
          <w:rFonts w:cstheme="minorHAnsi"/>
          <w:sz w:val="24"/>
          <w:szCs w:val="24"/>
        </w:rPr>
        <w:t xml:space="preserve">tohoto </w:t>
      </w:r>
      <w:r w:rsidRPr="002C4E3B">
        <w:rPr>
          <w:rFonts w:cstheme="minorHAnsi"/>
          <w:sz w:val="24"/>
          <w:szCs w:val="24"/>
        </w:rPr>
        <w:t>systém</w:t>
      </w:r>
      <w:r>
        <w:rPr>
          <w:rFonts w:cstheme="minorHAnsi"/>
          <w:sz w:val="24"/>
          <w:szCs w:val="24"/>
        </w:rPr>
        <w:t>u</w:t>
      </w:r>
      <w:r w:rsidR="00382E8B">
        <w:rPr>
          <w:rFonts w:cstheme="minorHAnsi"/>
          <w:sz w:val="24"/>
          <w:szCs w:val="24"/>
        </w:rPr>
        <w:t>.</w:t>
      </w:r>
      <w:r w:rsidRPr="002C4E3B">
        <w:rPr>
          <w:rStyle w:val="Znakapoznpodarou"/>
          <w:rFonts w:cstheme="minorHAnsi"/>
          <w:sz w:val="24"/>
          <w:szCs w:val="24"/>
        </w:rPr>
        <w:footnoteReference w:id="24"/>
      </w:r>
    </w:p>
    <w:p w14:paraId="5348DE98" w14:textId="77777777" w:rsidR="00912AAE" w:rsidRPr="00912AAE" w:rsidRDefault="00912AAE" w:rsidP="00912AAE">
      <w:pPr>
        <w:spacing w:after="0" w:line="252" w:lineRule="auto"/>
        <w:contextualSpacing/>
        <w:jc w:val="both"/>
        <w:rPr>
          <w:rFonts w:cstheme="minorHAnsi"/>
          <w:sz w:val="24"/>
          <w:szCs w:val="24"/>
        </w:rPr>
      </w:pPr>
    </w:p>
    <w:p w14:paraId="2D9058D1" w14:textId="1AA623D0" w:rsidR="00912AAE" w:rsidRDefault="00912AAE" w:rsidP="00912AAE">
      <w:pPr>
        <w:spacing w:after="0" w:line="252" w:lineRule="auto"/>
        <w:contextualSpacing/>
        <w:jc w:val="both"/>
        <w:rPr>
          <w:rFonts w:cstheme="minorHAnsi"/>
          <w:sz w:val="24"/>
          <w:szCs w:val="24"/>
        </w:rPr>
      </w:pPr>
      <w:r>
        <w:rPr>
          <w:rFonts w:cstheme="minorHAnsi"/>
          <w:sz w:val="24"/>
          <w:szCs w:val="24"/>
        </w:rPr>
        <w:t xml:space="preserve">3.6 </w:t>
      </w:r>
      <w:r w:rsidRPr="00912AAE">
        <w:rPr>
          <w:rFonts w:cstheme="minorHAnsi"/>
          <w:sz w:val="24"/>
          <w:szCs w:val="24"/>
        </w:rPr>
        <w:t xml:space="preserve">Účelností </w:t>
      </w:r>
      <w:r>
        <w:rPr>
          <w:rFonts w:cstheme="minorHAnsi"/>
          <w:sz w:val="24"/>
          <w:szCs w:val="24"/>
        </w:rPr>
        <w:t xml:space="preserve">se rozumí </w:t>
      </w:r>
      <w:r w:rsidRPr="00A2299C">
        <w:rPr>
          <w:rFonts w:cstheme="minorHAnsi"/>
          <w:sz w:val="24"/>
          <w:szCs w:val="24"/>
        </w:rPr>
        <w:t>takové použití veřejných prostředků, kter</w:t>
      </w:r>
      <w:r>
        <w:rPr>
          <w:rFonts w:cstheme="minorHAnsi"/>
          <w:sz w:val="24"/>
          <w:szCs w:val="24"/>
        </w:rPr>
        <w:t>é</w:t>
      </w:r>
      <w:r w:rsidRPr="00F2333C">
        <w:rPr>
          <w:rFonts w:cstheme="minorHAnsi"/>
          <w:sz w:val="24"/>
          <w:szCs w:val="24"/>
        </w:rPr>
        <w:t xml:space="preserve"> </w:t>
      </w:r>
      <w:r w:rsidRPr="00A2299C">
        <w:rPr>
          <w:rFonts w:cstheme="minorHAnsi"/>
          <w:sz w:val="24"/>
          <w:szCs w:val="24"/>
        </w:rPr>
        <w:t>zajistí optimální míru dosažení cílů při plnění stanovených úkolů</w:t>
      </w:r>
      <w:r w:rsidR="00382E8B">
        <w:rPr>
          <w:rFonts w:cstheme="minorHAnsi"/>
          <w:sz w:val="24"/>
          <w:szCs w:val="24"/>
        </w:rPr>
        <w:t>.</w:t>
      </w:r>
      <w:r w:rsidRPr="002C4E3B">
        <w:rPr>
          <w:rStyle w:val="Znakapoznpodarou"/>
          <w:rFonts w:cstheme="minorHAnsi"/>
          <w:sz w:val="24"/>
          <w:szCs w:val="24"/>
        </w:rPr>
        <w:footnoteReference w:id="25"/>
      </w:r>
      <w:r>
        <w:rPr>
          <w:rFonts w:cstheme="minorHAnsi"/>
          <w:sz w:val="24"/>
          <w:szCs w:val="24"/>
        </w:rPr>
        <w:t xml:space="preserve"> </w:t>
      </w:r>
      <w:r w:rsidRPr="00A2299C">
        <w:rPr>
          <w:rFonts w:cstheme="minorHAnsi"/>
          <w:sz w:val="24"/>
          <w:szCs w:val="24"/>
        </w:rPr>
        <w:t xml:space="preserve">NKÚ považuje za </w:t>
      </w:r>
      <w:r>
        <w:rPr>
          <w:rFonts w:cstheme="minorHAnsi"/>
          <w:sz w:val="24"/>
          <w:szCs w:val="24"/>
        </w:rPr>
        <w:t>účelné</w:t>
      </w:r>
      <w:r w:rsidRPr="00A2299C">
        <w:rPr>
          <w:rFonts w:cstheme="minorHAnsi"/>
          <w:sz w:val="24"/>
          <w:szCs w:val="24"/>
        </w:rPr>
        <w:t xml:space="preserve"> </w:t>
      </w:r>
      <w:r>
        <w:rPr>
          <w:rFonts w:cstheme="minorHAnsi"/>
          <w:sz w:val="24"/>
          <w:szCs w:val="24"/>
        </w:rPr>
        <w:t xml:space="preserve">takové vynaložení peněžních prostředků státu na </w:t>
      </w:r>
      <w:r w:rsidRPr="002C4E3B">
        <w:rPr>
          <w:rFonts w:cstheme="minorHAnsi"/>
          <w:sz w:val="24"/>
          <w:szCs w:val="24"/>
        </w:rPr>
        <w:t>systém kontrolního vážení</w:t>
      </w:r>
      <w:r>
        <w:rPr>
          <w:rFonts w:cstheme="minorHAnsi"/>
          <w:sz w:val="24"/>
          <w:szCs w:val="24"/>
        </w:rPr>
        <w:t>, které zajistí,</w:t>
      </w:r>
      <w:r w:rsidRPr="002C4E3B">
        <w:rPr>
          <w:rFonts w:cstheme="minorHAnsi"/>
          <w:sz w:val="24"/>
          <w:szCs w:val="24"/>
        </w:rPr>
        <w:t xml:space="preserve"> </w:t>
      </w:r>
      <w:r>
        <w:rPr>
          <w:rFonts w:cstheme="minorHAnsi"/>
          <w:sz w:val="24"/>
          <w:szCs w:val="24"/>
        </w:rPr>
        <w:t>aby</w:t>
      </w:r>
      <w:r w:rsidRPr="002C4E3B">
        <w:rPr>
          <w:rFonts w:cstheme="minorHAnsi"/>
          <w:sz w:val="24"/>
          <w:szCs w:val="24"/>
        </w:rPr>
        <w:t xml:space="preserve"> </w:t>
      </w:r>
      <w:r>
        <w:rPr>
          <w:rFonts w:cstheme="minorHAnsi"/>
          <w:sz w:val="24"/>
          <w:szCs w:val="24"/>
        </w:rPr>
        <w:t>tento systém b</w:t>
      </w:r>
      <w:r w:rsidRPr="002C4E3B">
        <w:rPr>
          <w:rFonts w:cstheme="minorHAnsi"/>
          <w:sz w:val="24"/>
          <w:szCs w:val="24"/>
        </w:rPr>
        <w:t>yl nastaven</w:t>
      </w:r>
      <w:r>
        <w:rPr>
          <w:rFonts w:cstheme="minorHAnsi"/>
          <w:sz w:val="24"/>
          <w:szCs w:val="24"/>
        </w:rPr>
        <w:t xml:space="preserve"> a provozován </w:t>
      </w:r>
      <w:r w:rsidRPr="002C4E3B">
        <w:rPr>
          <w:rFonts w:cstheme="minorHAnsi"/>
          <w:sz w:val="24"/>
          <w:szCs w:val="24"/>
        </w:rPr>
        <w:t xml:space="preserve">způsobem </w:t>
      </w:r>
      <w:r>
        <w:rPr>
          <w:rFonts w:cstheme="minorHAnsi"/>
          <w:sz w:val="24"/>
          <w:szCs w:val="24"/>
        </w:rPr>
        <w:t>garantujícím</w:t>
      </w:r>
      <w:r w:rsidRPr="002C4E3B">
        <w:rPr>
          <w:rFonts w:cstheme="minorHAnsi"/>
          <w:sz w:val="24"/>
          <w:szCs w:val="24"/>
        </w:rPr>
        <w:t> </w:t>
      </w:r>
      <w:r w:rsidRPr="00A2299C">
        <w:rPr>
          <w:rFonts w:cstheme="minorHAnsi"/>
          <w:sz w:val="24"/>
          <w:szCs w:val="24"/>
        </w:rPr>
        <w:t>optimální</w:t>
      </w:r>
      <w:r w:rsidRPr="002C4E3B">
        <w:rPr>
          <w:rFonts w:cstheme="minorHAnsi"/>
          <w:sz w:val="24"/>
          <w:szCs w:val="24"/>
        </w:rPr>
        <w:t xml:space="preserve"> </w:t>
      </w:r>
      <w:r>
        <w:rPr>
          <w:rFonts w:cstheme="minorHAnsi"/>
          <w:sz w:val="24"/>
          <w:szCs w:val="24"/>
        </w:rPr>
        <w:t>dosažení</w:t>
      </w:r>
      <w:r w:rsidRPr="002C4E3B">
        <w:rPr>
          <w:rFonts w:cstheme="minorHAnsi"/>
          <w:sz w:val="24"/>
          <w:szCs w:val="24"/>
        </w:rPr>
        <w:t xml:space="preserve"> stanoveného cíle, tzn. především </w:t>
      </w:r>
      <w:r>
        <w:rPr>
          <w:rFonts w:cstheme="minorHAnsi"/>
          <w:sz w:val="24"/>
          <w:szCs w:val="24"/>
        </w:rPr>
        <w:t xml:space="preserve">aby </w:t>
      </w:r>
      <w:r w:rsidRPr="002C4E3B">
        <w:rPr>
          <w:rFonts w:cstheme="minorHAnsi"/>
          <w:sz w:val="24"/>
          <w:szCs w:val="24"/>
        </w:rPr>
        <w:t>zaj</w:t>
      </w:r>
      <w:r>
        <w:rPr>
          <w:rFonts w:cstheme="minorHAnsi"/>
          <w:sz w:val="24"/>
          <w:szCs w:val="24"/>
        </w:rPr>
        <w:t>istil</w:t>
      </w:r>
      <w:r w:rsidRPr="002C4E3B">
        <w:rPr>
          <w:rFonts w:cstheme="minorHAnsi"/>
          <w:sz w:val="24"/>
          <w:szCs w:val="24"/>
        </w:rPr>
        <w:t xml:space="preserve"> </w:t>
      </w:r>
      <w:r>
        <w:rPr>
          <w:rFonts w:cstheme="minorHAnsi"/>
          <w:sz w:val="24"/>
          <w:szCs w:val="24"/>
        </w:rPr>
        <w:t xml:space="preserve">prokazatelné snížení počtu jízd přetížených vozidel a tím i </w:t>
      </w:r>
      <w:r w:rsidRPr="002C4E3B">
        <w:rPr>
          <w:rFonts w:cstheme="minorHAnsi"/>
          <w:sz w:val="24"/>
          <w:szCs w:val="24"/>
        </w:rPr>
        <w:t>účinn</w:t>
      </w:r>
      <w:r>
        <w:rPr>
          <w:rFonts w:cstheme="minorHAnsi"/>
          <w:sz w:val="24"/>
          <w:szCs w:val="24"/>
        </w:rPr>
        <w:t>ou</w:t>
      </w:r>
      <w:r w:rsidRPr="002C4E3B">
        <w:rPr>
          <w:rFonts w:cstheme="minorHAnsi"/>
          <w:sz w:val="24"/>
          <w:szCs w:val="24"/>
        </w:rPr>
        <w:t xml:space="preserve"> ochran</w:t>
      </w:r>
      <w:r>
        <w:rPr>
          <w:rFonts w:cstheme="minorHAnsi"/>
          <w:sz w:val="24"/>
          <w:szCs w:val="24"/>
        </w:rPr>
        <w:t>u</w:t>
      </w:r>
      <w:r w:rsidRPr="002C4E3B">
        <w:rPr>
          <w:rFonts w:cstheme="minorHAnsi"/>
          <w:sz w:val="24"/>
          <w:szCs w:val="24"/>
        </w:rPr>
        <w:t xml:space="preserve"> dopravní infrastruktury před destrukčním účinkem jízd </w:t>
      </w:r>
      <w:r>
        <w:rPr>
          <w:rFonts w:cstheme="minorHAnsi"/>
          <w:sz w:val="24"/>
          <w:szCs w:val="24"/>
        </w:rPr>
        <w:t>těchto</w:t>
      </w:r>
      <w:r w:rsidRPr="002C4E3B">
        <w:rPr>
          <w:rFonts w:cstheme="minorHAnsi"/>
          <w:sz w:val="24"/>
          <w:szCs w:val="24"/>
        </w:rPr>
        <w:t xml:space="preserve"> vozidel. </w:t>
      </w:r>
    </w:p>
    <w:p w14:paraId="15AC1D79" w14:textId="77777777" w:rsidR="00F2333C" w:rsidRPr="001A328E" w:rsidRDefault="00F2333C" w:rsidP="002C4E3B">
      <w:pPr>
        <w:spacing w:after="0" w:line="252" w:lineRule="auto"/>
        <w:contextualSpacing/>
        <w:rPr>
          <w:rFonts w:cstheme="minorHAnsi"/>
        </w:rPr>
      </w:pPr>
    </w:p>
    <w:p w14:paraId="06F372BE" w14:textId="72B894D6" w:rsidR="00A75443" w:rsidRPr="003905AF" w:rsidRDefault="009962CB" w:rsidP="004459F3">
      <w:pPr>
        <w:spacing w:after="0" w:line="252" w:lineRule="auto"/>
        <w:ind w:left="652" w:hanging="652"/>
        <w:contextualSpacing/>
        <w:jc w:val="both"/>
        <w:rPr>
          <w:rFonts w:cstheme="minorHAnsi"/>
          <w:i/>
        </w:rPr>
      </w:pPr>
      <w:r w:rsidRPr="004459F3">
        <w:rPr>
          <w:rFonts w:cstheme="minorHAnsi"/>
          <w:b/>
          <w:bCs/>
          <w:i/>
        </w:rPr>
        <w:t>Pozn.:</w:t>
      </w:r>
      <w:r w:rsidR="003905AF">
        <w:rPr>
          <w:rFonts w:cstheme="minorHAnsi"/>
          <w:i/>
        </w:rPr>
        <w:t xml:space="preserve"> </w:t>
      </w:r>
      <w:r w:rsidR="00FF3BF0">
        <w:rPr>
          <w:rFonts w:cstheme="minorHAnsi"/>
          <w:i/>
        </w:rPr>
        <w:tab/>
      </w:r>
      <w:r w:rsidRPr="003905AF">
        <w:rPr>
          <w:rFonts w:cstheme="minorHAnsi"/>
          <w:i/>
        </w:rPr>
        <w:t>Právní předpisy uvedené v tomto kontrolním závěru jsou aplikovány ve znění účinném pro kontrolované období.</w:t>
      </w:r>
    </w:p>
    <w:p w14:paraId="448596F3" w14:textId="48ACFC37" w:rsidR="006E7618" w:rsidRPr="002025E9" w:rsidRDefault="006E7618" w:rsidP="002025E9">
      <w:pPr>
        <w:pStyle w:val="Nadpis1"/>
        <w:tabs>
          <w:tab w:val="left" w:pos="2835"/>
        </w:tabs>
        <w:spacing w:before="0" w:after="0" w:line="252" w:lineRule="auto"/>
        <w:contextualSpacing/>
        <w:jc w:val="center"/>
        <w:rPr>
          <w:rFonts w:asciiTheme="minorHAnsi" w:hAnsiTheme="minorHAnsi" w:cstheme="minorHAnsi"/>
          <w:sz w:val="24"/>
          <w:szCs w:val="24"/>
        </w:rPr>
      </w:pPr>
      <w:bookmarkStart w:id="18" w:name="_Hlk177707936"/>
    </w:p>
    <w:p w14:paraId="2F54AD56" w14:textId="77777777" w:rsidR="002025E9" w:rsidRPr="002025E9" w:rsidRDefault="002025E9" w:rsidP="002025E9">
      <w:pPr>
        <w:spacing w:after="0"/>
        <w:contextualSpacing/>
        <w:rPr>
          <w:lang w:eastAsia="cs-CZ"/>
        </w:rPr>
      </w:pPr>
    </w:p>
    <w:p w14:paraId="53FCBD65" w14:textId="77777777" w:rsidR="009962CB" w:rsidRPr="002C4E3B" w:rsidRDefault="009962CB" w:rsidP="002025E9">
      <w:pPr>
        <w:pStyle w:val="Nadpis1"/>
        <w:tabs>
          <w:tab w:val="left" w:pos="2835"/>
        </w:tabs>
        <w:spacing w:before="0" w:after="120" w:line="252" w:lineRule="auto"/>
        <w:contextualSpacing/>
        <w:jc w:val="center"/>
        <w:rPr>
          <w:rFonts w:asciiTheme="minorHAnsi" w:hAnsiTheme="minorHAnsi" w:cstheme="minorHAnsi"/>
          <w:sz w:val="28"/>
          <w:szCs w:val="28"/>
        </w:rPr>
      </w:pPr>
      <w:r w:rsidRPr="002C4E3B">
        <w:rPr>
          <w:rFonts w:asciiTheme="minorHAnsi" w:hAnsiTheme="minorHAnsi" w:cstheme="minorHAnsi"/>
          <w:sz w:val="28"/>
          <w:szCs w:val="28"/>
        </w:rPr>
        <w:t>IV. Podrobné skutečnosti zjištěné kontrolou</w:t>
      </w:r>
    </w:p>
    <w:p w14:paraId="21FAB2B8" w14:textId="77777777" w:rsidR="009962CB" w:rsidRPr="002C4E3B" w:rsidRDefault="009962CB" w:rsidP="002025E9">
      <w:pPr>
        <w:spacing w:after="120" w:line="252" w:lineRule="auto"/>
        <w:contextualSpacing/>
        <w:jc w:val="both"/>
        <w:rPr>
          <w:rFonts w:cstheme="minorHAnsi"/>
          <w:sz w:val="24"/>
          <w:szCs w:val="24"/>
        </w:rPr>
      </w:pPr>
    </w:p>
    <w:p w14:paraId="29A70D52" w14:textId="77777777" w:rsidR="006314AC" w:rsidRPr="004A60EB" w:rsidRDefault="006314AC" w:rsidP="004A60EB">
      <w:pPr>
        <w:pStyle w:val="Odstavecseseznamem"/>
        <w:numPr>
          <w:ilvl w:val="0"/>
          <w:numId w:val="37"/>
        </w:numPr>
        <w:spacing w:after="0" w:line="252" w:lineRule="auto"/>
        <w:ind w:left="426"/>
        <w:rPr>
          <w:rFonts w:eastAsia="Calibri" w:cstheme="minorHAnsi"/>
          <w:b/>
          <w:i/>
          <w:color w:val="4472C4" w:themeColor="accent5"/>
          <w:sz w:val="24"/>
          <w:szCs w:val="24"/>
        </w:rPr>
      </w:pPr>
      <w:r w:rsidRPr="004A60EB">
        <w:rPr>
          <w:rFonts w:eastAsia="Calibri" w:cstheme="minorHAnsi"/>
          <w:b/>
          <w:i/>
          <w:color w:val="4472C4" w:themeColor="accent5"/>
          <w:sz w:val="24"/>
          <w:szCs w:val="24"/>
        </w:rPr>
        <w:t>Jízd</w:t>
      </w:r>
      <w:r w:rsidR="00897A11" w:rsidRPr="004A60EB">
        <w:rPr>
          <w:rFonts w:eastAsia="Calibri" w:cstheme="minorHAnsi"/>
          <w:b/>
          <w:i/>
          <w:color w:val="4472C4" w:themeColor="accent5"/>
          <w:sz w:val="24"/>
          <w:szCs w:val="24"/>
        </w:rPr>
        <w:t>ami</w:t>
      </w:r>
      <w:r w:rsidRPr="004A60EB">
        <w:rPr>
          <w:rFonts w:eastAsia="Calibri" w:cstheme="minorHAnsi"/>
          <w:b/>
          <w:i/>
          <w:color w:val="4472C4" w:themeColor="accent5"/>
          <w:sz w:val="24"/>
          <w:szCs w:val="24"/>
        </w:rPr>
        <w:t xml:space="preserve"> přetížených vozidel</w:t>
      </w:r>
      <w:r w:rsidR="00522C07" w:rsidRPr="004A60EB">
        <w:rPr>
          <w:rFonts w:eastAsia="Calibri" w:cstheme="minorHAnsi"/>
          <w:b/>
          <w:i/>
          <w:color w:val="4472C4" w:themeColor="accent5"/>
          <w:sz w:val="24"/>
          <w:szCs w:val="24"/>
        </w:rPr>
        <w:t xml:space="preserve"> </w:t>
      </w:r>
      <w:r w:rsidR="00897A11" w:rsidRPr="004A60EB">
        <w:rPr>
          <w:rFonts w:eastAsia="Calibri" w:cstheme="minorHAnsi"/>
          <w:b/>
          <w:i/>
          <w:color w:val="4472C4" w:themeColor="accent5"/>
          <w:sz w:val="24"/>
          <w:szCs w:val="24"/>
        </w:rPr>
        <w:t>vznikají závažné škody na</w:t>
      </w:r>
      <w:r w:rsidR="00522C07" w:rsidRPr="004A60EB">
        <w:rPr>
          <w:rFonts w:eastAsia="Calibri" w:cstheme="minorHAnsi"/>
          <w:b/>
          <w:i/>
          <w:color w:val="4472C4" w:themeColor="accent5"/>
          <w:sz w:val="24"/>
          <w:szCs w:val="24"/>
        </w:rPr>
        <w:t xml:space="preserve"> dopravní infrastruktu</w:t>
      </w:r>
      <w:r w:rsidR="00897A11" w:rsidRPr="004A60EB">
        <w:rPr>
          <w:rFonts w:eastAsia="Calibri" w:cstheme="minorHAnsi"/>
          <w:b/>
          <w:i/>
          <w:color w:val="4472C4" w:themeColor="accent5"/>
          <w:sz w:val="24"/>
          <w:szCs w:val="24"/>
        </w:rPr>
        <w:t>ře</w:t>
      </w:r>
      <w:r w:rsidR="00220A24" w:rsidRPr="004A60EB">
        <w:rPr>
          <w:rFonts w:eastAsia="Calibri" w:cstheme="minorHAnsi"/>
          <w:b/>
          <w:i/>
          <w:color w:val="4472C4" w:themeColor="accent5"/>
          <w:sz w:val="24"/>
          <w:szCs w:val="24"/>
        </w:rPr>
        <w:t xml:space="preserve"> ...</w:t>
      </w:r>
    </w:p>
    <w:p w14:paraId="08B6B96A" w14:textId="77777777" w:rsidR="003076B4" w:rsidRPr="0024327A" w:rsidRDefault="003076B4" w:rsidP="003076B4">
      <w:pPr>
        <w:spacing w:after="0" w:line="252" w:lineRule="auto"/>
        <w:contextualSpacing/>
        <w:jc w:val="both"/>
        <w:rPr>
          <w:rFonts w:cstheme="minorHAnsi"/>
          <w:sz w:val="24"/>
          <w:szCs w:val="24"/>
        </w:rPr>
      </w:pPr>
    </w:p>
    <w:p w14:paraId="64F3DAF1" w14:textId="2DFFED32" w:rsidR="0024327A" w:rsidRPr="0024327A" w:rsidRDefault="00CB0C83" w:rsidP="003076B4">
      <w:pPr>
        <w:spacing w:after="0" w:line="252" w:lineRule="auto"/>
        <w:contextualSpacing/>
        <w:jc w:val="both"/>
        <w:rPr>
          <w:rFonts w:cstheme="minorHAnsi"/>
          <w:sz w:val="24"/>
          <w:szCs w:val="24"/>
        </w:rPr>
      </w:pPr>
      <w:r w:rsidRPr="00220A24">
        <w:rPr>
          <w:rFonts w:cstheme="minorHAnsi"/>
          <w:sz w:val="24"/>
          <w:szCs w:val="24"/>
        </w:rPr>
        <w:t xml:space="preserve">4.1 </w:t>
      </w:r>
      <w:r w:rsidR="0024327A" w:rsidRPr="00220A24">
        <w:rPr>
          <w:rFonts w:cstheme="minorHAnsi"/>
          <w:sz w:val="24"/>
          <w:szCs w:val="24"/>
        </w:rPr>
        <w:t xml:space="preserve">NKÚ zjišťoval, zda a jakým způsobem MD a ŘSD vyhodnocují vliv jízd přetížených vozidel </w:t>
      </w:r>
      <w:r w:rsidR="0024327A" w:rsidRPr="00220A24">
        <w:rPr>
          <w:rFonts w:cstheme="minorHAnsi"/>
          <w:sz w:val="24"/>
          <w:szCs w:val="24"/>
        </w:rPr>
        <w:br/>
        <w:t>na dopravní infrastrukturu</w:t>
      </w:r>
      <w:r w:rsidR="00E46990">
        <w:rPr>
          <w:rFonts w:cstheme="minorHAnsi"/>
          <w:sz w:val="24"/>
          <w:szCs w:val="24"/>
        </w:rPr>
        <w:t xml:space="preserve"> a možnosti její ochrany. Dále zjišťoval a vyhodnocoval,</w:t>
      </w:r>
      <w:r w:rsidR="0024327A" w:rsidRPr="00220A24">
        <w:rPr>
          <w:rFonts w:cstheme="minorHAnsi"/>
          <w:sz w:val="24"/>
          <w:szCs w:val="24"/>
        </w:rPr>
        <w:t xml:space="preserve"> nakolik je tento vliv </w:t>
      </w:r>
      <w:r w:rsidR="0024327A" w:rsidRPr="0044726F">
        <w:rPr>
          <w:rFonts w:cstheme="minorHAnsi"/>
          <w:sz w:val="24"/>
          <w:szCs w:val="24"/>
        </w:rPr>
        <w:t xml:space="preserve">významný, tedy jaké škody v důsledku jízd přetížených vozidel vznikají. Dálnice </w:t>
      </w:r>
      <w:r w:rsidR="0028088D">
        <w:rPr>
          <w:rFonts w:cstheme="minorHAnsi"/>
          <w:sz w:val="24"/>
          <w:szCs w:val="24"/>
        </w:rPr>
        <w:br/>
      </w:r>
      <w:r w:rsidR="0024327A" w:rsidRPr="0044726F">
        <w:rPr>
          <w:rFonts w:cstheme="minorHAnsi"/>
          <w:sz w:val="24"/>
          <w:szCs w:val="24"/>
        </w:rPr>
        <w:t>a silnice I. třídy jsou majetkem státu, který j</w:t>
      </w:r>
      <w:r w:rsidR="003F4975" w:rsidRPr="0044726F">
        <w:rPr>
          <w:rFonts w:cstheme="minorHAnsi"/>
          <w:sz w:val="24"/>
          <w:szCs w:val="24"/>
        </w:rPr>
        <w:t>e</w:t>
      </w:r>
      <w:r w:rsidR="0024327A" w:rsidRPr="0044726F">
        <w:rPr>
          <w:rFonts w:cstheme="minorHAnsi"/>
          <w:sz w:val="24"/>
          <w:szCs w:val="24"/>
        </w:rPr>
        <w:t xml:space="preserve"> ŘSD </w:t>
      </w:r>
      <w:r w:rsidR="00804C20" w:rsidRPr="0044726F">
        <w:rPr>
          <w:rFonts w:cstheme="minorHAnsi"/>
          <w:sz w:val="24"/>
          <w:szCs w:val="24"/>
        </w:rPr>
        <w:t xml:space="preserve">ve spolupráci </w:t>
      </w:r>
      <w:r w:rsidR="00E5179B">
        <w:rPr>
          <w:rFonts w:cstheme="minorHAnsi"/>
          <w:sz w:val="24"/>
          <w:szCs w:val="24"/>
        </w:rPr>
        <w:t xml:space="preserve">s </w:t>
      </w:r>
      <w:r w:rsidR="00804C20" w:rsidRPr="0044726F">
        <w:rPr>
          <w:rFonts w:cstheme="minorHAnsi"/>
          <w:sz w:val="24"/>
          <w:szCs w:val="24"/>
        </w:rPr>
        <w:t xml:space="preserve">MD </w:t>
      </w:r>
      <w:r w:rsidR="0024327A" w:rsidRPr="0044726F">
        <w:rPr>
          <w:rFonts w:cstheme="minorHAnsi"/>
          <w:sz w:val="24"/>
          <w:szCs w:val="24"/>
        </w:rPr>
        <w:t>povinn</w:t>
      </w:r>
      <w:r w:rsidR="003F4975" w:rsidRPr="0044726F">
        <w:rPr>
          <w:rFonts w:cstheme="minorHAnsi"/>
          <w:sz w:val="24"/>
          <w:szCs w:val="24"/>
        </w:rPr>
        <w:t>o</w:t>
      </w:r>
      <w:r w:rsidR="0024327A" w:rsidRPr="0044726F">
        <w:rPr>
          <w:rFonts w:cstheme="minorHAnsi"/>
          <w:sz w:val="24"/>
          <w:szCs w:val="24"/>
        </w:rPr>
        <w:t xml:space="preserve"> chránit před zničení</w:t>
      </w:r>
      <w:r w:rsidR="00A37B78">
        <w:rPr>
          <w:rFonts w:cstheme="minorHAnsi"/>
          <w:sz w:val="24"/>
          <w:szCs w:val="24"/>
        </w:rPr>
        <w:t>m</w:t>
      </w:r>
      <w:r w:rsidR="0024327A" w:rsidRPr="0044726F">
        <w:rPr>
          <w:rFonts w:cstheme="minorHAnsi"/>
          <w:sz w:val="24"/>
          <w:szCs w:val="24"/>
        </w:rPr>
        <w:t xml:space="preserve"> či poškozením.</w:t>
      </w:r>
    </w:p>
    <w:p w14:paraId="7A233BAB" w14:textId="77777777" w:rsidR="0024327A" w:rsidRPr="0024327A" w:rsidRDefault="0024327A" w:rsidP="003076B4">
      <w:pPr>
        <w:spacing w:after="0" w:line="252" w:lineRule="auto"/>
        <w:contextualSpacing/>
        <w:jc w:val="both"/>
        <w:rPr>
          <w:rFonts w:cstheme="minorHAnsi"/>
          <w:sz w:val="24"/>
          <w:szCs w:val="24"/>
        </w:rPr>
      </w:pPr>
    </w:p>
    <w:p w14:paraId="34B51372" w14:textId="257465E9" w:rsidR="003076B4" w:rsidRDefault="00D73F85" w:rsidP="003076B4">
      <w:pPr>
        <w:spacing w:line="252" w:lineRule="auto"/>
        <w:contextualSpacing/>
        <w:jc w:val="both"/>
        <w:rPr>
          <w:rFonts w:cstheme="minorHAnsi"/>
          <w:sz w:val="24"/>
          <w:szCs w:val="24"/>
        </w:rPr>
      </w:pPr>
      <w:r w:rsidRPr="003076B4">
        <w:rPr>
          <w:rFonts w:eastAsia="Calibri" w:cstheme="minorHAnsi"/>
          <w:sz w:val="24"/>
          <w:szCs w:val="24"/>
        </w:rPr>
        <w:t>4.</w:t>
      </w:r>
      <w:r w:rsidR="00CB0C83">
        <w:rPr>
          <w:rFonts w:eastAsia="Calibri" w:cstheme="minorHAnsi"/>
          <w:sz w:val="24"/>
          <w:szCs w:val="24"/>
        </w:rPr>
        <w:t>2</w:t>
      </w:r>
      <w:r w:rsidRPr="003076B4">
        <w:rPr>
          <w:rFonts w:eastAsia="Calibri" w:cstheme="minorHAnsi"/>
          <w:sz w:val="24"/>
          <w:szCs w:val="24"/>
        </w:rPr>
        <w:t xml:space="preserve"> </w:t>
      </w:r>
      <w:r w:rsidR="006A21B2">
        <w:rPr>
          <w:rFonts w:cstheme="minorHAnsi"/>
          <w:sz w:val="24"/>
          <w:szCs w:val="24"/>
        </w:rPr>
        <w:t>V</w:t>
      </w:r>
      <w:r w:rsidR="009635A6" w:rsidRPr="003076B4">
        <w:rPr>
          <w:rFonts w:cstheme="minorHAnsi"/>
          <w:sz w:val="24"/>
          <w:szCs w:val="24"/>
        </w:rPr>
        <w:t>ozid</w:t>
      </w:r>
      <w:r w:rsidR="006A21B2">
        <w:rPr>
          <w:rFonts w:cstheme="minorHAnsi"/>
          <w:sz w:val="24"/>
          <w:szCs w:val="24"/>
        </w:rPr>
        <w:t>la</w:t>
      </w:r>
      <w:r w:rsidR="009635A6" w:rsidRPr="003076B4">
        <w:rPr>
          <w:rFonts w:cstheme="minorHAnsi"/>
          <w:sz w:val="24"/>
          <w:szCs w:val="24"/>
        </w:rPr>
        <w:t xml:space="preserve">, </w:t>
      </w:r>
      <w:r w:rsidR="006A21B2">
        <w:rPr>
          <w:rFonts w:cstheme="minorHAnsi"/>
          <w:sz w:val="24"/>
          <w:szCs w:val="24"/>
        </w:rPr>
        <w:t>která</w:t>
      </w:r>
      <w:r w:rsidR="006A21B2" w:rsidRPr="003076B4">
        <w:rPr>
          <w:rFonts w:cstheme="minorHAnsi"/>
          <w:sz w:val="24"/>
          <w:szCs w:val="24"/>
        </w:rPr>
        <w:t xml:space="preserve"> </w:t>
      </w:r>
      <w:r w:rsidR="006A21B2">
        <w:rPr>
          <w:rFonts w:cstheme="minorHAnsi"/>
          <w:sz w:val="24"/>
          <w:szCs w:val="24"/>
        </w:rPr>
        <w:t xml:space="preserve">překračují </w:t>
      </w:r>
      <w:r w:rsidR="009635A6" w:rsidRPr="003076B4">
        <w:rPr>
          <w:rFonts w:cstheme="minorHAnsi"/>
          <w:sz w:val="24"/>
          <w:szCs w:val="24"/>
        </w:rPr>
        <w:t>hmotnost</w:t>
      </w:r>
      <w:r w:rsidR="006A21B2">
        <w:rPr>
          <w:rFonts w:cstheme="minorHAnsi"/>
          <w:sz w:val="24"/>
          <w:szCs w:val="24"/>
        </w:rPr>
        <w:t>í</w:t>
      </w:r>
      <w:r w:rsidR="009635A6" w:rsidRPr="003076B4">
        <w:rPr>
          <w:rFonts w:cstheme="minorHAnsi"/>
          <w:sz w:val="24"/>
          <w:szCs w:val="24"/>
        </w:rPr>
        <w:t xml:space="preserve"> nebo rozložení</w:t>
      </w:r>
      <w:r w:rsidR="006A21B2">
        <w:rPr>
          <w:rFonts w:cstheme="minorHAnsi"/>
          <w:sz w:val="24"/>
          <w:szCs w:val="24"/>
        </w:rPr>
        <w:t>m</w:t>
      </w:r>
      <w:r w:rsidR="009635A6" w:rsidRPr="003076B4">
        <w:rPr>
          <w:rFonts w:cstheme="minorHAnsi"/>
          <w:sz w:val="24"/>
          <w:szCs w:val="24"/>
        </w:rPr>
        <w:t xml:space="preserve"> hmotnosti na nápravy </w:t>
      </w:r>
      <w:r w:rsidR="003076B4">
        <w:rPr>
          <w:rFonts w:cstheme="minorHAnsi"/>
          <w:sz w:val="24"/>
          <w:szCs w:val="24"/>
        </w:rPr>
        <w:t xml:space="preserve">stanovené limity, způsobují </w:t>
      </w:r>
      <w:r w:rsidR="006A21B2">
        <w:rPr>
          <w:rFonts w:cstheme="minorHAnsi"/>
          <w:sz w:val="24"/>
          <w:szCs w:val="24"/>
        </w:rPr>
        <w:t xml:space="preserve">svými jízdami </w:t>
      </w:r>
      <w:r w:rsidR="003076B4">
        <w:rPr>
          <w:rFonts w:cstheme="minorHAnsi"/>
          <w:sz w:val="24"/>
          <w:szCs w:val="24"/>
        </w:rPr>
        <w:t>zvýšené namáhání a opotřebení komunikací</w:t>
      </w:r>
      <w:r w:rsidR="003076B4" w:rsidRPr="003076B4">
        <w:rPr>
          <w:rFonts w:cstheme="minorHAnsi"/>
          <w:sz w:val="24"/>
          <w:szCs w:val="24"/>
        </w:rPr>
        <w:t>.</w:t>
      </w:r>
      <w:r w:rsidR="003076B4">
        <w:rPr>
          <w:rFonts w:cstheme="minorHAnsi"/>
          <w:sz w:val="24"/>
          <w:szCs w:val="24"/>
        </w:rPr>
        <w:t xml:space="preserve"> Důsledkem jsou různé poruchy (výtluky, praskliny, </w:t>
      </w:r>
      <w:r w:rsidR="00E973A0">
        <w:rPr>
          <w:rFonts w:cstheme="minorHAnsi"/>
          <w:sz w:val="24"/>
          <w:szCs w:val="24"/>
        </w:rPr>
        <w:t>„</w:t>
      </w:r>
      <w:r w:rsidR="003076B4">
        <w:rPr>
          <w:rFonts w:cstheme="minorHAnsi"/>
          <w:sz w:val="24"/>
          <w:szCs w:val="24"/>
        </w:rPr>
        <w:t>vyjeté koleje“ atd.), snížení životnosti a nárůst nákladů na opravy a</w:t>
      </w:r>
      <w:r w:rsidR="006A21B2">
        <w:rPr>
          <w:rFonts w:cstheme="minorHAnsi"/>
          <w:sz w:val="24"/>
          <w:szCs w:val="24"/>
        </w:rPr>
        <w:t xml:space="preserve"> </w:t>
      </w:r>
      <w:r w:rsidR="003076B4">
        <w:rPr>
          <w:rFonts w:cstheme="minorHAnsi"/>
          <w:sz w:val="24"/>
          <w:szCs w:val="24"/>
        </w:rPr>
        <w:t xml:space="preserve">rekonstrukce poškozených komunikací. </w:t>
      </w:r>
      <w:r w:rsidR="003076B4" w:rsidRPr="003076B4">
        <w:rPr>
          <w:rFonts w:cstheme="minorHAnsi"/>
          <w:sz w:val="24"/>
          <w:szCs w:val="24"/>
        </w:rPr>
        <w:t>Přetížená vozidla rovněž ohrožují ostatní účastníky silničního provozu</w:t>
      </w:r>
      <w:r w:rsidR="003076B4">
        <w:rPr>
          <w:rFonts w:cstheme="minorHAnsi"/>
          <w:sz w:val="24"/>
          <w:szCs w:val="24"/>
        </w:rPr>
        <w:t>. P</w:t>
      </w:r>
      <w:r w:rsidR="003076B4" w:rsidRPr="003076B4">
        <w:rPr>
          <w:rFonts w:cstheme="minorHAnsi"/>
          <w:sz w:val="24"/>
          <w:szCs w:val="24"/>
        </w:rPr>
        <w:t>ři překročení povoleného zatížení dochází ke zhoršení jízdních vlastností vozidla, zhoršuje se jeho ovladatelnost a prodlužuje se brzdná dráha. Přetěžování vozidel má negativní vliv i na životní prostředí – zvyšuje se hluk, otěr pneumatik, množství exhalací.</w:t>
      </w:r>
      <w:r w:rsidR="00216774">
        <w:rPr>
          <w:rFonts w:cstheme="minorHAnsi"/>
          <w:sz w:val="24"/>
          <w:szCs w:val="24"/>
        </w:rPr>
        <w:t xml:space="preserve"> </w:t>
      </w:r>
    </w:p>
    <w:p w14:paraId="21B7CDDD" w14:textId="77777777" w:rsidR="00216774" w:rsidRDefault="00216774" w:rsidP="003076B4">
      <w:pPr>
        <w:spacing w:line="252" w:lineRule="auto"/>
        <w:contextualSpacing/>
        <w:jc w:val="both"/>
        <w:rPr>
          <w:rFonts w:cstheme="minorHAnsi"/>
          <w:sz w:val="24"/>
          <w:szCs w:val="24"/>
        </w:rPr>
      </w:pPr>
    </w:p>
    <w:p w14:paraId="23615BC6" w14:textId="77777777" w:rsidR="00216774" w:rsidRDefault="00216774" w:rsidP="003076B4">
      <w:pPr>
        <w:spacing w:line="252" w:lineRule="auto"/>
        <w:contextualSpacing/>
        <w:jc w:val="both"/>
        <w:rPr>
          <w:rFonts w:cstheme="minorHAnsi"/>
          <w:sz w:val="24"/>
          <w:szCs w:val="24"/>
        </w:rPr>
      </w:pPr>
      <w:r>
        <w:rPr>
          <w:rFonts w:cstheme="minorHAnsi"/>
          <w:sz w:val="24"/>
          <w:szCs w:val="24"/>
        </w:rPr>
        <w:t xml:space="preserve">4.3 Významně negativní vliv přetížených vozidel na dopravní infrastrukturu i dopravní provoz a s tím spojené zvýšení nákladů na údržbu a opravy dopravní infrastruktury konstatovala mj. </w:t>
      </w:r>
      <w:r w:rsidRPr="004459F3">
        <w:rPr>
          <w:i/>
          <w:iCs/>
          <w:sz w:val="24"/>
          <w:szCs w:val="24"/>
        </w:rPr>
        <w:t>Studie – ITS a C-ITS pro ochranu dálniční a silniční sítě ŘSD</w:t>
      </w:r>
      <w:r>
        <w:rPr>
          <w:sz w:val="24"/>
          <w:szCs w:val="24"/>
        </w:rPr>
        <w:t xml:space="preserve">, kterou si nechalo zpracovat ŘSD </w:t>
      </w:r>
      <w:r w:rsidR="0028088D">
        <w:rPr>
          <w:sz w:val="24"/>
          <w:szCs w:val="24"/>
        </w:rPr>
        <w:br/>
      </w:r>
      <w:r>
        <w:rPr>
          <w:sz w:val="24"/>
          <w:szCs w:val="24"/>
        </w:rPr>
        <w:t xml:space="preserve">a obdrželo ji v </w:t>
      </w:r>
      <w:r w:rsidRPr="00E13298">
        <w:rPr>
          <w:rFonts w:cstheme="minorHAnsi"/>
          <w:sz w:val="24"/>
          <w:szCs w:val="24"/>
        </w:rPr>
        <w:t>červenci 2021</w:t>
      </w:r>
      <w:r>
        <w:rPr>
          <w:rFonts w:cstheme="minorHAnsi"/>
          <w:sz w:val="24"/>
          <w:szCs w:val="24"/>
        </w:rPr>
        <w:t>.</w:t>
      </w:r>
    </w:p>
    <w:p w14:paraId="690A6F27" w14:textId="0CFCE2FA" w:rsidR="00BD6D0B" w:rsidRDefault="00BD6D0B" w:rsidP="003076B4">
      <w:pPr>
        <w:spacing w:line="252" w:lineRule="auto"/>
        <w:contextualSpacing/>
        <w:jc w:val="both"/>
        <w:rPr>
          <w:rFonts w:cstheme="minorHAnsi"/>
          <w:sz w:val="24"/>
          <w:szCs w:val="24"/>
        </w:rPr>
      </w:pPr>
    </w:p>
    <w:p w14:paraId="50571C29" w14:textId="2FD062FF" w:rsidR="005C46B7" w:rsidRPr="00BD6D0B" w:rsidRDefault="00A93BA4" w:rsidP="003A30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2" w:lineRule="auto"/>
        <w:contextualSpacing/>
        <w:jc w:val="both"/>
        <w:rPr>
          <w:rFonts w:cstheme="minorHAnsi"/>
          <w:sz w:val="24"/>
          <w:szCs w:val="24"/>
        </w:rPr>
      </w:pPr>
      <w:r>
        <w:rPr>
          <w:sz w:val="24"/>
          <w:szCs w:val="24"/>
        </w:rPr>
        <w:t xml:space="preserve">Ze </w:t>
      </w:r>
      <w:r w:rsidRPr="004459F3">
        <w:rPr>
          <w:i/>
          <w:iCs/>
          <w:sz w:val="24"/>
          <w:szCs w:val="24"/>
        </w:rPr>
        <w:t>Studie – ITS a C-ITS pro ochranu dálniční a silniční sítě ŘSD</w:t>
      </w:r>
      <w:r>
        <w:rPr>
          <w:sz w:val="24"/>
          <w:szCs w:val="24"/>
        </w:rPr>
        <w:t>:</w:t>
      </w:r>
      <w:r w:rsidRPr="00BD6D0B">
        <w:rPr>
          <w:rFonts w:cstheme="minorHAnsi"/>
          <w:i/>
          <w:sz w:val="24"/>
          <w:szCs w:val="24"/>
        </w:rPr>
        <w:t xml:space="preserve"> </w:t>
      </w:r>
      <w:r w:rsidR="00BD6D0B" w:rsidRPr="004459F3">
        <w:rPr>
          <w:rFonts w:cstheme="minorHAnsi"/>
          <w:iCs/>
          <w:sz w:val="24"/>
          <w:szCs w:val="24"/>
        </w:rPr>
        <w:t>„</w:t>
      </w:r>
      <w:r w:rsidR="005C46B7" w:rsidRPr="00BD6D0B">
        <w:rPr>
          <w:rFonts w:ascii="Calibri" w:hAnsi="Calibri" w:cs="Calibri"/>
          <w:i/>
          <w:sz w:val="24"/>
          <w:szCs w:val="24"/>
        </w:rPr>
        <w:t>Pohyb přetíženého vozidla představuje hrozbu pro celý dopravní systém. Překračování nápravových limitů v tonáži vozidel a celkové hmotnosti vozidla je jednou z hlavních příčin nadměrného opotřebení a poškozování silniční sítě, což vyvolává zvýšené náklady spojené s udržováním dopravní infrastruktury v</w:t>
      </w:r>
      <w:r w:rsidR="006A21B2">
        <w:rPr>
          <w:rFonts w:ascii="Calibri" w:hAnsi="Calibri" w:cs="Calibri"/>
          <w:i/>
          <w:sz w:val="24"/>
          <w:szCs w:val="24"/>
        </w:rPr>
        <w:t> </w:t>
      </w:r>
      <w:r w:rsidR="005C46B7" w:rsidRPr="00BD6D0B">
        <w:rPr>
          <w:rFonts w:ascii="Calibri" w:hAnsi="Calibri" w:cs="Calibri"/>
          <w:i/>
          <w:sz w:val="24"/>
          <w:szCs w:val="24"/>
        </w:rPr>
        <w:t>přiměřené kvalitě po celou dobu životního cyklu komunikace, resp. zvýšené náklady spojené s opravou silniční sítě včetně souvisejících zařízení a mostů.</w:t>
      </w:r>
      <w:r w:rsidR="00BD6D0B" w:rsidRPr="004459F3">
        <w:rPr>
          <w:rFonts w:ascii="Calibri" w:hAnsi="Calibri" w:cs="Calibri"/>
          <w:iCs/>
          <w:sz w:val="24"/>
          <w:szCs w:val="24"/>
        </w:rPr>
        <w:t>“</w:t>
      </w:r>
    </w:p>
    <w:p w14:paraId="38E02770" w14:textId="77777777" w:rsidR="005C46B7" w:rsidRPr="002C4E3B" w:rsidRDefault="005C46B7" w:rsidP="00D22C2A">
      <w:pPr>
        <w:spacing w:after="0" w:line="252" w:lineRule="auto"/>
        <w:contextualSpacing/>
        <w:jc w:val="both"/>
        <w:rPr>
          <w:rFonts w:eastAsia="Calibri" w:cstheme="minorHAnsi"/>
          <w:sz w:val="24"/>
          <w:szCs w:val="24"/>
        </w:rPr>
      </w:pPr>
    </w:p>
    <w:p w14:paraId="0A55C5AA" w14:textId="1CDC7E85" w:rsidR="00BC4B6A" w:rsidRPr="003076B4" w:rsidRDefault="00BC4B6A" w:rsidP="003076B4">
      <w:pPr>
        <w:spacing w:after="0" w:line="252" w:lineRule="auto"/>
        <w:contextualSpacing/>
        <w:jc w:val="both"/>
        <w:rPr>
          <w:rFonts w:cstheme="minorHAnsi"/>
          <w:sz w:val="24"/>
          <w:szCs w:val="24"/>
        </w:rPr>
      </w:pPr>
      <w:r>
        <w:rPr>
          <w:rFonts w:cstheme="minorHAnsi"/>
          <w:sz w:val="24"/>
          <w:szCs w:val="24"/>
        </w:rPr>
        <w:t>4.</w:t>
      </w:r>
      <w:r w:rsidR="00216774">
        <w:rPr>
          <w:rFonts w:cstheme="minorHAnsi"/>
          <w:sz w:val="24"/>
          <w:szCs w:val="24"/>
        </w:rPr>
        <w:t>4</w:t>
      </w:r>
      <w:r>
        <w:rPr>
          <w:rFonts w:cstheme="minorHAnsi"/>
          <w:sz w:val="24"/>
          <w:szCs w:val="24"/>
        </w:rPr>
        <w:t xml:space="preserve"> </w:t>
      </w:r>
      <w:r w:rsidR="001D061D" w:rsidRPr="001D061D">
        <w:rPr>
          <w:rFonts w:cstheme="minorHAnsi"/>
          <w:sz w:val="24"/>
          <w:szCs w:val="24"/>
        </w:rPr>
        <w:t>Příčinná souvislost mezi jízdami přetížených vozidel a vznikem závažných škod na dopravní infrastruktuře je nepochybná.</w:t>
      </w:r>
      <w:r w:rsidR="002F6F21">
        <w:rPr>
          <w:rFonts w:cstheme="minorHAnsi"/>
          <w:sz w:val="24"/>
          <w:szCs w:val="24"/>
        </w:rPr>
        <w:t xml:space="preserve"> </w:t>
      </w:r>
      <w:r w:rsidR="00F92C59">
        <w:rPr>
          <w:rFonts w:cstheme="minorHAnsi"/>
          <w:sz w:val="24"/>
          <w:szCs w:val="24"/>
        </w:rPr>
        <w:t>Přesné v</w:t>
      </w:r>
      <w:r w:rsidR="002F6F21" w:rsidRPr="002F6F21">
        <w:rPr>
          <w:rFonts w:cstheme="minorHAnsi"/>
          <w:sz w:val="24"/>
          <w:szCs w:val="24"/>
        </w:rPr>
        <w:t xml:space="preserve">yčíslení těchto škod je ale </w:t>
      </w:r>
      <w:r w:rsidR="00012B25" w:rsidRPr="002F6F21">
        <w:rPr>
          <w:rFonts w:cstheme="minorHAnsi"/>
          <w:sz w:val="24"/>
          <w:szCs w:val="24"/>
        </w:rPr>
        <w:t xml:space="preserve">s ohledem na množství </w:t>
      </w:r>
      <w:r w:rsidR="007F6D91">
        <w:rPr>
          <w:rFonts w:cstheme="minorHAnsi"/>
          <w:sz w:val="24"/>
          <w:szCs w:val="24"/>
        </w:rPr>
        <w:t xml:space="preserve">dalších </w:t>
      </w:r>
      <w:r w:rsidR="00012B25" w:rsidRPr="002F6F21">
        <w:rPr>
          <w:rFonts w:cstheme="minorHAnsi"/>
          <w:sz w:val="24"/>
          <w:szCs w:val="24"/>
        </w:rPr>
        <w:t xml:space="preserve">vlivů </w:t>
      </w:r>
      <w:r w:rsidR="002F6F21" w:rsidRPr="002F6F21">
        <w:rPr>
          <w:rFonts w:cstheme="minorHAnsi"/>
          <w:sz w:val="24"/>
          <w:szCs w:val="24"/>
        </w:rPr>
        <w:t>problematické</w:t>
      </w:r>
      <w:r w:rsidR="00012B25">
        <w:rPr>
          <w:rFonts w:cstheme="minorHAnsi"/>
          <w:sz w:val="24"/>
          <w:szCs w:val="24"/>
        </w:rPr>
        <w:t>.</w:t>
      </w:r>
      <w:r w:rsidR="002F6F21" w:rsidRPr="002F6F21">
        <w:rPr>
          <w:rFonts w:cstheme="minorHAnsi"/>
          <w:sz w:val="24"/>
          <w:szCs w:val="24"/>
        </w:rPr>
        <w:t xml:space="preserve"> </w:t>
      </w:r>
      <w:r w:rsidR="00CB124E">
        <w:rPr>
          <w:rFonts w:cstheme="minorHAnsi"/>
          <w:sz w:val="24"/>
          <w:szCs w:val="24"/>
        </w:rPr>
        <w:t xml:space="preserve">MD </w:t>
      </w:r>
      <w:r w:rsidR="00012B25">
        <w:rPr>
          <w:rFonts w:cstheme="minorHAnsi"/>
          <w:sz w:val="24"/>
          <w:szCs w:val="24"/>
        </w:rPr>
        <w:t xml:space="preserve">ani ŘSD </w:t>
      </w:r>
      <w:r w:rsidR="002F6F21" w:rsidRPr="002F6F21">
        <w:rPr>
          <w:rFonts w:cstheme="minorHAnsi"/>
          <w:sz w:val="24"/>
          <w:szCs w:val="24"/>
        </w:rPr>
        <w:t xml:space="preserve">tyto škody </w:t>
      </w:r>
      <w:r w:rsidR="00CB124E">
        <w:rPr>
          <w:rFonts w:cstheme="minorHAnsi"/>
          <w:sz w:val="24"/>
          <w:szCs w:val="24"/>
        </w:rPr>
        <w:t>s</w:t>
      </w:r>
      <w:r w:rsidR="002F6F21" w:rsidRPr="002F6F21">
        <w:rPr>
          <w:rFonts w:cstheme="minorHAnsi"/>
          <w:sz w:val="24"/>
          <w:szCs w:val="24"/>
        </w:rPr>
        <w:t xml:space="preserve">amostatně </w:t>
      </w:r>
      <w:r w:rsidR="00CB124E">
        <w:rPr>
          <w:rFonts w:cstheme="minorHAnsi"/>
          <w:sz w:val="24"/>
          <w:szCs w:val="24"/>
        </w:rPr>
        <w:t>ne</w:t>
      </w:r>
      <w:r w:rsidR="002F6F21" w:rsidRPr="002F6F21">
        <w:rPr>
          <w:rFonts w:cstheme="minorHAnsi"/>
          <w:sz w:val="24"/>
          <w:szCs w:val="24"/>
        </w:rPr>
        <w:t>sled</w:t>
      </w:r>
      <w:r w:rsidR="00CB124E">
        <w:rPr>
          <w:rFonts w:cstheme="minorHAnsi"/>
          <w:sz w:val="24"/>
          <w:szCs w:val="24"/>
        </w:rPr>
        <w:t>ují</w:t>
      </w:r>
      <w:r w:rsidR="002F6F21" w:rsidRPr="002F6F21">
        <w:rPr>
          <w:rFonts w:cstheme="minorHAnsi"/>
          <w:sz w:val="24"/>
          <w:szCs w:val="24"/>
        </w:rPr>
        <w:t>.</w:t>
      </w:r>
      <w:r w:rsidR="002F6F21">
        <w:rPr>
          <w:rFonts w:cstheme="minorHAnsi"/>
          <w:sz w:val="24"/>
          <w:szCs w:val="24"/>
        </w:rPr>
        <w:t xml:space="preserve"> </w:t>
      </w:r>
      <w:r w:rsidR="00385FAE">
        <w:rPr>
          <w:rFonts w:cstheme="minorHAnsi"/>
          <w:sz w:val="24"/>
          <w:szCs w:val="24"/>
        </w:rPr>
        <w:t>ŘSD v roce 2006 odhadlo škod</w:t>
      </w:r>
      <w:r w:rsidR="008A01ED">
        <w:rPr>
          <w:rFonts w:cstheme="minorHAnsi"/>
          <w:sz w:val="24"/>
          <w:szCs w:val="24"/>
        </w:rPr>
        <w:t>y</w:t>
      </w:r>
      <w:r w:rsidR="00385FAE">
        <w:rPr>
          <w:rFonts w:cstheme="minorHAnsi"/>
          <w:sz w:val="24"/>
          <w:szCs w:val="24"/>
        </w:rPr>
        <w:t xml:space="preserve"> </w:t>
      </w:r>
      <w:r w:rsidR="00385FAE" w:rsidRPr="00385FAE">
        <w:rPr>
          <w:rFonts w:cstheme="minorHAnsi"/>
          <w:sz w:val="24"/>
          <w:szCs w:val="24"/>
        </w:rPr>
        <w:t>způsobovan</w:t>
      </w:r>
      <w:r w:rsidR="008A01ED">
        <w:rPr>
          <w:rFonts w:cstheme="minorHAnsi"/>
          <w:sz w:val="24"/>
          <w:szCs w:val="24"/>
        </w:rPr>
        <w:t>é</w:t>
      </w:r>
      <w:r w:rsidR="00385FAE" w:rsidRPr="00385FAE">
        <w:rPr>
          <w:rFonts w:cstheme="minorHAnsi"/>
          <w:sz w:val="24"/>
          <w:szCs w:val="24"/>
        </w:rPr>
        <w:t xml:space="preserve"> přetíženými kami</w:t>
      </w:r>
      <w:r w:rsidR="006A21B2">
        <w:rPr>
          <w:rFonts w:cstheme="minorHAnsi"/>
          <w:sz w:val="24"/>
          <w:szCs w:val="24"/>
        </w:rPr>
        <w:t>o</w:t>
      </w:r>
      <w:r w:rsidR="00385FAE" w:rsidRPr="00385FAE">
        <w:rPr>
          <w:rFonts w:cstheme="minorHAnsi"/>
          <w:sz w:val="24"/>
          <w:szCs w:val="24"/>
        </w:rPr>
        <w:t>ny na dálniční síti na více než 600 mil. Kč ročně.</w:t>
      </w:r>
      <w:r w:rsidR="00385FAE">
        <w:rPr>
          <w:rFonts w:cstheme="minorHAnsi"/>
          <w:sz w:val="24"/>
          <w:szCs w:val="24"/>
        </w:rPr>
        <w:t xml:space="preserve"> </w:t>
      </w:r>
      <w:r w:rsidR="00534064">
        <w:rPr>
          <w:rFonts w:cstheme="minorHAnsi"/>
          <w:sz w:val="24"/>
          <w:szCs w:val="24"/>
        </w:rPr>
        <w:t xml:space="preserve">Podle </w:t>
      </w:r>
      <w:r>
        <w:rPr>
          <w:rFonts w:cstheme="minorHAnsi"/>
          <w:sz w:val="24"/>
          <w:szCs w:val="24"/>
        </w:rPr>
        <w:t xml:space="preserve">MD </w:t>
      </w:r>
      <w:r w:rsidRPr="00BC4B6A">
        <w:rPr>
          <w:rFonts w:cstheme="minorHAnsi"/>
          <w:sz w:val="24"/>
          <w:szCs w:val="24"/>
        </w:rPr>
        <w:t>nákladní auta tvoří obvykle jen cca 10 % celkové dopravy, ale jsou zodpovědná za cca 30 % všech škod na silnicích a cca 70 % všech škod na mostech</w:t>
      </w:r>
      <w:r w:rsidR="006A21B2">
        <w:rPr>
          <w:rFonts w:cstheme="minorHAnsi"/>
          <w:sz w:val="24"/>
          <w:szCs w:val="24"/>
        </w:rPr>
        <w:t>.</w:t>
      </w:r>
      <w:r>
        <w:rPr>
          <w:rStyle w:val="Znakapoznpodarou"/>
          <w:rFonts w:cstheme="minorHAnsi"/>
          <w:sz w:val="24"/>
          <w:szCs w:val="24"/>
        </w:rPr>
        <w:footnoteReference w:id="26"/>
      </w:r>
      <w:r w:rsidR="002F6F21">
        <w:rPr>
          <w:rFonts w:cstheme="minorHAnsi"/>
          <w:sz w:val="24"/>
          <w:szCs w:val="24"/>
        </w:rPr>
        <w:t xml:space="preserve"> </w:t>
      </w:r>
      <w:r w:rsidR="00433A2F" w:rsidRPr="00433A2F">
        <w:rPr>
          <w:rFonts w:cstheme="minorHAnsi"/>
          <w:sz w:val="24"/>
          <w:szCs w:val="24"/>
        </w:rPr>
        <w:t>Na opravy a údržbu dálnic a silnic I. třídy stát v období let 2019</w:t>
      </w:r>
      <w:r w:rsidR="00FA3F22">
        <w:rPr>
          <w:rFonts w:cstheme="minorHAnsi"/>
          <w:sz w:val="24"/>
          <w:szCs w:val="24"/>
        </w:rPr>
        <w:t>–</w:t>
      </w:r>
      <w:r w:rsidR="00433A2F" w:rsidRPr="00433A2F">
        <w:rPr>
          <w:rFonts w:cstheme="minorHAnsi"/>
          <w:sz w:val="24"/>
          <w:szCs w:val="24"/>
        </w:rPr>
        <w:t xml:space="preserve">2023 </w:t>
      </w:r>
      <w:r w:rsidR="00433A2F">
        <w:rPr>
          <w:rFonts w:cstheme="minorHAnsi"/>
          <w:sz w:val="24"/>
          <w:szCs w:val="24"/>
        </w:rPr>
        <w:t xml:space="preserve">prostřednictvím </w:t>
      </w:r>
      <w:r w:rsidR="00444BF7" w:rsidRPr="00052107">
        <w:rPr>
          <w:rFonts w:cstheme="minorHAnsi"/>
          <w:sz w:val="24"/>
          <w:szCs w:val="24"/>
        </w:rPr>
        <w:t xml:space="preserve">rozpočtů </w:t>
      </w:r>
      <w:r w:rsidR="00433A2F" w:rsidRPr="00052107">
        <w:rPr>
          <w:rFonts w:cstheme="minorHAnsi"/>
          <w:sz w:val="24"/>
          <w:szCs w:val="24"/>
        </w:rPr>
        <w:t>SFDI</w:t>
      </w:r>
      <w:r w:rsidR="00433A2F">
        <w:rPr>
          <w:rFonts w:cstheme="minorHAnsi"/>
          <w:sz w:val="24"/>
          <w:szCs w:val="24"/>
        </w:rPr>
        <w:t xml:space="preserve"> </w:t>
      </w:r>
      <w:r w:rsidR="00433A2F" w:rsidRPr="00433A2F">
        <w:rPr>
          <w:rFonts w:cstheme="minorHAnsi"/>
          <w:sz w:val="24"/>
          <w:szCs w:val="24"/>
        </w:rPr>
        <w:t xml:space="preserve">vynaložil celkem </w:t>
      </w:r>
      <w:r w:rsidR="00433A2F" w:rsidRPr="00426524">
        <w:rPr>
          <w:rFonts w:cstheme="minorHAnsi"/>
          <w:sz w:val="24"/>
          <w:szCs w:val="24"/>
        </w:rPr>
        <w:t>73 500 mil. Kč.</w:t>
      </w:r>
    </w:p>
    <w:p w14:paraId="178CB34C" w14:textId="77777777" w:rsidR="00052107" w:rsidRDefault="00052107" w:rsidP="002C4E3B">
      <w:pPr>
        <w:spacing w:after="0" w:line="252" w:lineRule="auto"/>
        <w:contextualSpacing/>
        <w:rPr>
          <w:rFonts w:eastAsia="Calibri" w:cstheme="minorHAnsi"/>
          <w:b/>
          <w:i/>
          <w:color w:val="4472C4" w:themeColor="accent5"/>
          <w:sz w:val="24"/>
          <w:szCs w:val="24"/>
        </w:rPr>
      </w:pPr>
    </w:p>
    <w:p w14:paraId="0BC7285B" w14:textId="77777777" w:rsidR="00C13623" w:rsidRPr="002C4E3B" w:rsidRDefault="00220A24" w:rsidP="002C4E3B">
      <w:pPr>
        <w:spacing w:after="0" w:line="252" w:lineRule="auto"/>
        <w:contextualSpacing/>
        <w:rPr>
          <w:rFonts w:eastAsia="Calibri" w:cstheme="minorHAnsi"/>
          <w:b/>
          <w:i/>
          <w:color w:val="4472C4" w:themeColor="accent5"/>
          <w:sz w:val="24"/>
          <w:szCs w:val="24"/>
        </w:rPr>
      </w:pPr>
      <w:r>
        <w:rPr>
          <w:rFonts w:eastAsia="Calibri" w:cstheme="minorHAnsi"/>
          <w:b/>
          <w:i/>
          <w:color w:val="4472C4" w:themeColor="accent5"/>
          <w:sz w:val="24"/>
          <w:szCs w:val="24"/>
        </w:rPr>
        <w:t xml:space="preserve">... </w:t>
      </w:r>
      <w:r w:rsidR="008A01ED">
        <w:rPr>
          <w:rFonts w:eastAsia="Calibri" w:cstheme="minorHAnsi"/>
          <w:b/>
          <w:i/>
          <w:color w:val="4472C4" w:themeColor="accent5"/>
          <w:sz w:val="24"/>
          <w:szCs w:val="24"/>
        </w:rPr>
        <w:t xml:space="preserve">a </w:t>
      </w:r>
      <w:r w:rsidR="008A64AC" w:rsidRPr="002C4E3B">
        <w:rPr>
          <w:rFonts w:eastAsia="Calibri" w:cstheme="minorHAnsi"/>
          <w:b/>
          <w:i/>
          <w:color w:val="4472C4" w:themeColor="accent5"/>
          <w:sz w:val="24"/>
          <w:szCs w:val="24"/>
        </w:rPr>
        <w:t>úkolem k</w:t>
      </w:r>
      <w:r w:rsidR="00C13623" w:rsidRPr="002C4E3B">
        <w:rPr>
          <w:rFonts w:eastAsia="Calibri" w:cstheme="minorHAnsi"/>
          <w:b/>
          <w:i/>
          <w:color w:val="4472C4" w:themeColor="accent5"/>
          <w:sz w:val="24"/>
          <w:szCs w:val="24"/>
        </w:rPr>
        <w:t xml:space="preserve">ontrolního vážení </w:t>
      </w:r>
      <w:r w:rsidR="008A64AC" w:rsidRPr="002C4E3B">
        <w:rPr>
          <w:rFonts w:eastAsia="Calibri" w:cstheme="minorHAnsi"/>
          <w:b/>
          <w:i/>
          <w:color w:val="4472C4" w:themeColor="accent5"/>
          <w:sz w:val="24"/>
          <w:szCs w:val="24"/>
        </w:rPr>
        <w:t>byl</w:t>
      </w:r>
      <w:r w:rsidR="00E02430">
        <w:rPr>
          <w:rFonts w:eastAsia="Calibri" w:cstheme="minorHAnsi"/>
          <w:b/>
          <w:i/>
          <w:color w:val="4472C4" w:themeColor="accent5"/>
          <w:sz w:val="24"/>
          <w:szCs w:val="24"/>
        </w:rPr>
        <w:t>o</w:t>
      </w:r>
      <w:r w:rsidR="00522C07" w:rsidRPr="002C4E3B">
        <w:rPr>
          <w:rFonts w:eastAsia="Calibri" w:cstheme="minorHAnsi"/>
          <w:b/>
          <w:i/>
          <w:color w:val="4472C4" w:themeColor="accent5"/>
          <w:sz w:val="24"/>
          <w:szCs w:val="24"/>
        </w:rPr>
        <w:t xml:space="preserve"> </w:t>
      </w:r>
      <w:r w:rsidR="00C13623" w:rsidRPr="002C4E3B">
        <w:rPr>
          <w:rFonts w:eastAsia="Calibri" w:cstheme="minorHAnsi"/>
          <w:b/>
          <w:i/>
          <w:color w:val="4472C4" w:themeColor="accent5"/>
          <w:sz w:val="24"/>
          <w:szCs w:val="24"/>
        </w:rPr>
        <w:t>dopravní infrastruktur</w:t>
      </w:r>
      <w:r w:rsidR="00E02430">
        <w:rPr>
          <w:rFonts w:eastAsia="Calibri" w:cstheme="minorHAnsi"/>
          <w:b/>
          <w:i/>
          <w:color w:val="4472C4" w:themeColor="accent5"/>
          <w:sz w:val="24"/>
          <w:szCs w:val="24"/>
        </w:rPr>
        <w:t>u</w:t>
      </w:r>
      <w:r w:rsidR="00E02430" w:rsidRPr="00E02430">
        <w:rPr>
          <w:rFonts w:eastAsia="Calibri" w:cstheme="minorHAnsi"/>
          <w:b/>
          <w:i/>
          <w:color w:val="4472C4" w:themeColor="accent5"/>
          <w:sz w:val="24"/>
          <w:szCs w:val="24"/>
        </w:rPr>
        <w:t xml:space="preserve"> </w:t>
      </w:r>
      <w:r w:rsidR="00E02430">
        <w:rPr>
          <w:rFonts w:eastAsia="Calibri" w:cstheme="minorHAnsi"/>
          <w:b/>
          <w:i/>
          <w:color w:val="4472C4" w:themeColor="accent5"/>
          <w:sz w:val="24"/>
          <w:szCs w:val="24"/>
        </w:rPr>
        <w:t xml:space="preserve">před těmito škodami </w:t>
      </w:r>
      <w:r w:rsidR="00E02430" w:rsidRPr="002C4E3B">
        <w:rPr>
          <w:rFonts w:eastAsia="Calibri" w:cstheme="minorHAnsi"/>
          <w:b/>
          <w:i/>
          <w:color w:val="4472C4" w:themeColor="accent5"/>
          <w:sz w:val="24"/>
          <w:szCs w:val="24"/>
        </w:rPr>
        <w:t>ochr</w:t>
      </w:r>
      <w:r w:rsidR="00E02430">
        <w:rPr>
          <w:rFonts w:eastAsia="Calibri" w:cstheme="minorHAnsi"/>
          <w:b/>
          <w:i/>
          <w:color w:val="4472C4" w:themeColor="accent5"/>
          <w:sz w:val="24"/>
          <w:szCs w:val="24"/>
        </w:rPr>
        <w:t>ánit</w:t>
      </w:r>
      <w:r>
        <w:rPr>
          <w:rFonts w:eastAsia="Calibri" w:cstheme="minorHAnsi"/>
          <w:b/>
          <w:i/>
          <w:color w:val="4472C4" w:themeColor="accent5"/>
          <w:sz w:val="24"/>
          <w:szCs w:val="24"/>
        </w:rPr>
        <w:t>.</w:t>
      </w:r>
    </w:p>
    <w:p w14:paraId="7263D1F2" w14:textId="77777777" w:rsidR="004032DF" w:rsidRDefault="004032DF" w:rsidP="00231397">
      <w:pPr>
        <w:spacing w:after="0" w:line="252" w:lineRule="auto"/>
        <w:contextualSpacing/>
        <w:jc w:val="both"/>
        <w:rPr>
          <w:rFonts w:eastAsia="Calibri" w:cstheme="minorHAnsi"/>
          <w:sz w:val="24"/>
          <w:szCs w:val="24"/>
        </w:rPr>
      </w:pPr>
    </w:p>
    <w:p w14:paraId="7A7A152A" w14:textId="1BB57A85" w:rsidR="000C3D24" w:rsidRPr="00231397" w:rsidRDefault="007427AE" w:rsidP="00231397">
      <w:pPr>
        <w:spacing w:after="0" w:line="252" w:lineRule="auto"/>
        <w:contextualSpacing/>
        <w:jc w:val="both"/>
        <w:rPr>
          <w:rFonts w:eastAsia="Calibri" w:cstheme="minorHAnsi"/>
          <w:sz w:val="24"/>
          <w:szCs w:val="24"/>
        </w:rPr>
      </w:pPr>
      <w:r w:rsidRPr="007427AE">
        <w:rPr>
          <w:rFonts w:eastAsia="Calibri" w:cstheme="minorHAnsi"/>
          <w:sz w:val="24"/>
          <w:szCs w:val="24"/>
        </w:rPr>
        <w:t>4.</w:t>
      </w:r>
      <w:r w:rsidR="00216774">
        <w:rPr>
          <w:rFonts w:eastAsia="Calibri" w:cstheme="minorHAnsi"/>
          <w:sz w:val="24"/>
          <w:szCs w:val="24"/>
        </w:rPr>
        <w:t>5</w:t>
      </w:r>
      <w:r w:rsidR="00231397">
        <w:rPr>
          <w:rFonts w:eastAsia="Calibri" w:cstheme="minorHAnsi"/>
          <w:sz w:val="24"/>
          <w:szCs w:val="24"/>
        </w:rPr>
        <w:t xml:space="preserve"> </w:t>
      </w:r>
      <w:r w:rsidR="001D061D">
        <w:rPr>
          <w:rFonts w:eastAsia="Calibri" w:cstheme="minorHAnsi"/>
          <w:sz w:val="24"/>
          <w:szCs w:val="24"/>
        </w:rPr>
        <w:t xml:space="preserve">Kontrolní vážení bylo </w:t>
      </w:r>
      <w:r w:rsidR="00DF295A">
        <w:rPr>
          <w:rFonts w:eastAsia="Calibri" w:cstheme="minorHAnsi"/>
          <w:sz w:val="24"/>
          <w:szCs w:val="24"/>
        </w:rPr>
        <w:t xml:space="preserve">v České republice </w:t>
      </w:r>
      <w:r w:rsidR="00AC119D" w:rsidRPr="00AC119D">
        <w:rPr>
          <w:rFonts w:eastAsia="Calibri" w:cstheme="minorHAnsi"/>
          <w:sz w:val="24"/>
          <w:szCs w:val="24"/>
        </w:rPr>
        <w:t>právním předpisem</w:t>
      </w:r>
      <w:r w:rsidR="00DF295A">
        <w:rPr>
          <w:rFonts w:eastAsia="Calibri" w:cstheme="minorHAnsi"/>
          <w:sz w:val="24"/>
          <w:szCs w:val="24"/>
        </w:rPr>
        <w:t xml:space="preserve"> </w:t>
      </w:r>
      <w:r w:rsidR="001D061D">
        <w:rPr>
          <w:rFonts w:eastAsia="Calibri" w:cstheme="minorHAnsi"/>
          <w:sz w:val="24"/>
          <w:szCs w:val="24"/>
        </w:rPr>
        <w:t>zav</w:t>
      </w:r>
      <w:r w:rsidR="001564DA">
        <w:rPr>
          <w:rFonts w:eastAsia="Calibri" w:cstheme="minorHAnsi"/>
          <w:sz w:val="24"/>
          <w:szCs w:val="24"/>
        </w:rPr>
        <w:t>e</w:t>
      </w:r>
      <w:r w:rsidR="001D061D">
        <w:rPr>
          <w:rFonts w:eastAsia="Calibri" w:cstheme="minorHAnsi"/>
          <w:sz w:val="24"/>
          <w:szCs w:val="24"/>
        </w:rPr>
        <w:t>d</w:t>
      </w:r>
      <w:r w:rsidR="001564DA">
        <w:rPr>
          <w:rFonts w:eastAsia="Calibri" w:cstheme="minorHAnsi"/>
          <w:sz w:val="24"/>
          <w:szCs w:val="24"/>
        </w:rPr>
        <w:t>e</w:t>
      </w:r>
      <w:r w:rsidR="001D061D">
        <w:rPr>
          <w:rFonts w:eastAsia="Calibri" w:cstheme="minorHAnsi"/>
          <w:sz w:val="24"/>
          <w:szCs w:val="24"/>
        </w:rPr>
        <w:t xml:space="preserve">no </w:t>
      </w:r>
      <w:r w:rsidR="00C640C3">
        <w:rPr>
          <w:rFonts w:eastAsia="Calibri" w:cstheme="minorHAnsi"/>
          <w:sz w:val="24"/>
          <w:szCs w:val="24"/>
        </w:rPr>
        <w:t xml:space="preserve">v roce 2000 </w:t>
      </w:r>
      <w:r w:rsidR="001D061D">
        <w:rPr>
          <w:rFonts w:eastAsia="Calibri" w:cstheme="minorHAnsi"/>
          <w:sz w:val="24"/>
          <w:szCs w:val="24"/>
        </w:rPr>
        <w:t xml:space="preserve">s cílem </w:t>
      </w:r>
      <w:r w:rsidR="00C640C3">
        <w:rPr>
          <w:rFonts w:eastAsia="Calibri" w:cstheme="minorHAnsi"/>
          <w:sz w:val="24"/>
          <w:szCs w:val="24"/>
        </w:rPr>
        <w:t xml:space="preserve">omezit na nejnižší možnou míru jízdy přetížených vozidel a tím </w:t>
      </w:r>
      <w:r w:rsidR="001D061D">
        <w:rPr>
          <w:rFonts w:eastAsia="Calibri" w:cstheme="minorHAnsi"/>
          <w:sz w:val="24"/>
          <w:szCs w:val="24"/>
        </w:rPr>
        <w:t xml:space="preserve">ochránit dopravní infrastrukturu před poškozováním </w:t>
      </w:r>
      <w:r w:rsidR="008A01ED">
        <w:rPr>
          <w:rFonts w:eastAsia="Calibri" w:cstheme="minorHAnsi"/>
          <w:sz w:val="24"/>
          <w:szCs w:val="24"/>
        </w:rPr>
        <w:t>těmito</w:t>
      </w:r>
      <w:r w:rsidR="001D061D">
        <w:rPr>
          <w:rFonts w:eastAsia="Calibri" w:cstheme="minorHAnsi"/>
          <w:sz w:val="24"/>
          <w:szCs w:val="24"/>
        </w:rPr>
        <w:t xml:space="preserve"> vozid</w:t>
      </w:r>
      <w:r w:rsidR="008A01ED">
        <w:rPr>
          <w:rFonts w:eastAsia="Calibri" w:cstheme="minorHAnsi"/>
          <w:sz w:val="24"/>
          <w:szCs w:val="24"/>
        </w:rPr>
        <w:t>ly</w:t>
      </w:r>
      <w:r w:rsidR="001D061D">
        <w:rPr>
          <w:rFonts w:eastAsia="Calibri" w:cstheme="minorHAnsi"/>
          <w:sz w:val="24"/>
          <w:szCs w:val="24"/>
        </w:rPr>
        <w:t>.</w:t>
      </w:r>
      <w:r w:rsidR="002D0C7C">
        <w:rPr>
          <w:rFonts w:eastAsia="Calibri" w:cstheme="minorHAnsi"/>
          <w:sz w:val="24"/>
          <w:szCs w:val="24"/>
        </w:rPr>
        <w:t xml:space="preserve"> </w:t>
      </w:r>
      <w:r w:rsidR="00DF295A">
        <w:rPr>
          <w:rFonts w:eastAsia="Calibri" w:cstheme="minorHAnsi"/>
          <w:sz w:val="24"/>
          <w:szCs w:val="24"/>
        </w:rPr>
        <w:t>P</w:t>
      </w:r>
      <w:r w:rsidR="001564DA">
        <w:rPr>
          <w:rFonts w:eastAsia="Calibri" w:cstheme="minorHAnsi"/>
          <w:sz w:val="24"/>
          <w:szCs w:val="24"/>
        </w:rPr>
        <w:t xml:space="preserve">osílení ochrany mělo </w:t>
      </w:r>
      <w:r w:rsidR="00271384">
        <w:rPr>
          <w:rFonts w:eastAsia="Calibri" w:cstheme="minorHAnsi"/>
          <w:sz w:val="24"/>
          <w:szCs w:val="24"/>
        </w:rPr>
        <w:t>být dosaženo</w:t>
      </w:r>
      <w:r w:rsidR="001564DA">
        <w:rPr>
          <w:rFonts w:eastAsia="Calibri" w:cstheme="minorHAnsi"/>
          <w:sz w:val="24"/>
          <w:szCs w:val="24"/>
        </w:rPr>
        <w:t xml:space="preserve"> zavedení</w:t>
      </w:r>
      <w:r w:rsidR="00271384">
        <w:rPr>
          <w:rFonts w:eastAsia="Calibri" w:cstheme="minorHAnsi"/>
          <w:sz w:val="24"/>
          <w:szCs w:val="24"/>
        </w:rPr>
        <w:t>m</w:t>
      </w:r>
      <w:r w:rsidR="001564DA">
        <w:rPr>
          <w:rFonts w:eastAsia="Calibri" w:cstheme="minorHAnsi"/>
          <w:sz w:val="24"/>
          <w:szCs w:val="24"/>
        </w:rPr>
        <w:t xml:space="preserve"> </w:t>
      </w:r>
      <w:r w:rsidR="00D76DF9">
        <w:rPr>
          <w:rFonts w:eastAsia="Calibri" w:cstheme="minorHAnsi"/>
          <w:sz w:val="24"/>
          <w:szCs w:val="24"/>
        </w:rPr>
        <w:t>VKV</w:t>
      </w:r>
      <w:r w:rsidR="001564DA">
        <w:rPr>
          <w:rFonts w:eastAsia="Calibri" w:cstheme="minorHAnsi"/>
          <w:sz w:val="24"/>
          <w:szCs w:val="24"/>
        </w:rPr>
        <w:t xml:space="preserve">, které bylo do zákona o pozemních komunikacích doplněno </w:t>
      </w:r>
      <w:r w:rsidR="00012B25">
        <w:rPr>
          <w:rFonts w:eastAsia="Calibri" w:cstheme="minorHAnsi"/>
          <w:sz w:val="24"/>
          <w:szCs w:val="24"/>
        </w:rPr>
        <w:t>s účinností od</w:t>
      </w:r>
      <w:r w:rsidR="001564DA">
        <w:rPr>
          <w:rFonts w:eastAsia="Calibri" w:cstheme="minorHAnsi"/>
          <w:sz w:val="24"/>
          <w:szCs w:val="24"/>
        </w:rPr>
        <w:t xml:space="preserve"> ledn</w:t>
      </w:r>
      <w:r w:rsidR="00012B25">
        <w:rPr>
          <w:rFonts w:eastAsia="Calibri" w:cstheme="minorHAnsi"/>
          <w:sz w:val="24"/>
          <w:szCs w:val="24"/>
        </w:rPr>
        <w:t>a</w:t>
      </w:r>
      <w:r w:rsidR="001564DA">
        <w:rPr>
          <w:rFonts w:eastAsia="Calibri" w:cstheme="minorHAnsi"/>
          <w:sz w:val="24"/>
          <w:szCs w:val="24"/>
        </w:rPr>
        <w:t xml:space="preserve"> 2010. </w:t>
      </w:r>
    </w:p>
    <w:p w14:paraId="388AEDF6" w14:textId="77777777" w:rsidR="004A60EB" w:rsidRDefault="004A60EB" w:rsidP="00433F2E">
      <w:pPr>
        <w:spacing w:line="252" w:lineRule="auto"/>
        <w:contextualSpacing/>
        <w:jc w:val="both"/>
        <w:rPr>
          <w:rFonts w:cstheme="minorHAnsi"/>
          <w:sz w:val="24"/>
          <w:szCs w:val="24"/>
        </w:rPr>
      </w:pPr>
    </w:p>
    <w:p w14:paraId="44D7BA07" w14:textId="77777777" w:rsidR="00B75580" w:rsidRDefault="00B75580" w:rsidP="003A30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2" w:lineRule="auto"/>
        <w:contextualSpacing/>
        <w:jc w:val="both"/>
        <w:rPr>
          <w:rFonts w:cstheme="minorHAnsi"/>
          <w:sz w:val="24"/>
          <w:szCs w:val="24"/>
        </w:rPr>
      </w:pPr>
      <w:r>
        <w:rPr>
          <w:rFonts w:cstheme="minorHAnsi"/>
          <w:sz w:val="24"/>
          <w:szCs w:val="24"/>
        </w:rPr>
        <w:t>Z d</w:t>
      </w:r>
      <w:r w:rsidRPr="00433F2E">
        <w:rPr>
          <w:rFonts w:cstheme="minorHAnsi"/>
          <w:sz w:val="24"/>
          <w:szCs w:val="24"/>
        </w:rPr>
        <w:t>ůvodo</w:t>
      </w:r>
      <w:r>
        <w:rPr>
          <w:rFonts w:cstheme="minorHAnsi"/>
          <w:sz w:val="24"/>
          <w:szCs w:val="24"/>
        </w:rPr>
        <w:t>vé</w:t>
      </w:r>
      <w:r w:rsidRPr="00433F2E">
        <w:rPr>
          <w:rFonts w:cstheme="minorHAnsi"/>
          <w:sz w:val="24"/>
          <w:szCs w:val="24"/>
        </w:rPr>
        <w:t xml:space="preserve"> zpráv</w:t>
      </w:r>
      <w:r>
        <w:rPr>
          <w:rFonts w:cstheme="minorHAnsi"/>
          <w:sz w:val="24"/>
          <w:szCs w:val="24"/>
        </w:rPr>
        <w:t>y</w:t>
      </w:r>
      <w:r w:rsidRPr="00433F2E">
        <w:rPr>
          <w:rFonts w:cstheme="minorHAnsi"/>
          <w:sz w:val="24"/>
          <w:szCs w:val="24"/>
        </w:rPr>
        <w:t xml:space="preserve"> novely zákona </w:t>
      </w:r>
      <w:r>
        <w:rPr>
          <w:rFonts w:cstheme="minorHAnsi"/>
          <w:sz w:val="24"/>
          <w:szCs w:val="24"/>
        </w:rPr>
        <w:t xml:space="preserve">o pozemních komunikacích, jíž bylo v České republice </w:t>
      </w:r>
      <w:r w:rsidRPr="00433F2E">
        <w:rPr>
          <w:rFonts w:cstheme="minorHAnsi"/>
          <w:sz w:val="24"/>
          <w:szCs w:val="24"/>
        </w:rPr>
        <w:t>zav</w:t>
      </w:r>
      <w:r>
        <w:rPr>
          <w:rFonts w:cstheme="minorHAnsi"/>
          <w:sz w:val="24"/>
          <w:szCs w:val="24"/>
        </w:rPr>
        <w:t xml:space="preserve">edeno </w:t>
      </w:r>
      <w:r w:rsidRPr="00433F2E">
        <w:rPr>
          <w:rFonts w:cstheme="minorHAnsi"/>
          <w:sz w:val="24"/>
          <w:szCs w:val="24"/>
        </w:rPr>
        <w:t>kontrolní vážení</w:t>
      </w:r>
      <w:r>
        <w:rPr>
          <w:rFonts w:cstheme="minorHAnsi"/>
          <w:sz w:val="24"/>
          <w:szCs w:val="24"/>
        </w:rPr>
        <w:t xml:space="preserve">: </w:t>
      </w:r>
      <w:r w:rsidR="00433F2E" w:rsidRPr="004459F3">
        <w:rPr>
          <w:rFonts w:cstheme="minorHAnsi"/>
          <w:iCs/>
          <w:sz w:val="24"/>
          <w:szCs w:val="24"/>
        </w:rPr>
        <w:t>„</w:t>
      </w:r>
      <w:r w:rsidR="00A01775" w:rsidRPr="00A01775">
        <w:rPr>
          <w:rFonts w:cstheme="minorHAnsi"/>
          <w:i/>
          <w:sz w:val="24"/>
          <w:szCs w:val="24"/>
        </w:rPr>
        <w:t>V rámci ochrany pozemních komunikací je do zákona začleněn soubor ustanovení týkající se vážení uvedených kategorií motorových vozidel</w:t>
      </w:r>
      <w:r w:rsidR="00A01775">
        <w:rPr>
          <w:rFonts w:cstheme="minorHAnsi"/>
          <w:i/>
          <w:sz w:val="24"/>
          <w:szCs w:val="24"/>
        </w:rPr>
        <w:t>.</w:t>
      </w:r>
      <w:r w:rsidR="00A01775" w:rsidRPr="00A01775">
        <w:rPr>
          <w:rFonts w:cstheme="minorHAnsi"/>
          <w:i/>
          <w:sz w:val="24"/>
          <w:szCs w:val="24"/>
        </w:rPr>
        <w:t xml:space="preserve"> </w:t>
      </w:r>
      <w:r w:rsidR="00433F2E" w:rsidRPr="00433F2E">
        <w:rPr>
          <w:rFonts w:cstheme="minorHAnsi"/>
          <w:i/>
          <w:sz w:val="24"/>
          <w:szCs w:val="24"/>
        </w:rPr>
        <w:t>... Tato činnost bude cílena tak, aby byl omezen na nejnižší možnou míru výskyt vozidel na pozemních komunikacích, které nesplňují technické předpoklady</w:t>
      </w:r>
      <w:r w:rsidR="00633897">
        <w:rPr>
          <w:rFonts w:cstheme="minorHAnsi"/>
          <w:i/>
          <w:sz w:val="24"/>
          <w:szCs w:val="24"/>
        </w:rPr>
        <w:t xml:space="preserve"> </w:t>
      </w:r>
      <w:r w:rsidR="00433F2E" w:rsidRPr="00433F2E">
        <w:rPr>
          <w:rFonts w:cstheme="minorHAnsi"/>
          <w:i/>
          <w:sz w:val="24"/>
          <w:szCs w:val="24"/>
        </w:rPr>
        <w:t>..., a jejichž pohyb ve svých důsledcích způsobuje vážné</w:t>
      </w:r>
      <w:r w:rsidR="00EF1444">
        <w:rPr>
          <w:rFonts w:cstheme="minorHAnsi"/>
          <w:i/>
          <w:sz w:val="24"/>
          <w:szCs w:val="24"/>
        </w:rPr>
        <w:t xml:space="preserve"> </w:t>
      </w:r>
      <w:r w:rsidR="00433F2E" w:rsidRPr="00433F2E">
        <w:rPr>
          <w:rFonts w:cstheme="minorHAnsi"/>
          <w:i/>
          <w:sz w:val="24"/>
          <w:szCs w:val="24"/>
        </w:rPr>
        <w:t>poškození stavebního stavu pozemních</w:t>
      </w:r>
      <w:r w:rsidR="00433F2E">
        <w:rPr>
          <w:rFonts w:cstheme="minorHAnsi"/>
          <w:i/>
          <w:sz w:val="24"/>
          <w:szCs w:val="24"/>
        </w:rPr>
        <w:t xml:space="preserve"> komunikací.</w:t>
      </w:r>
      <w:r w:rsidR="00433F2E" w:rsidRPr="004459F3">
        <w:rPr>
          <w:rFonts w:cstheme="minorHAnsi"/>
          <w:iCs/>
          <w:sz w:val="24"/>
          <w:szCs w:val="24"/>
        </w:rPr>
        <w:t>“</w:t>
      </w:r>
      <w:r w:rsidR="00CC4ED8" w:rsidRPr="00271384">
        <w:rPr>
          <w:rFonts w:cstheme="minorHAnsi"/>
          <w:iCs/>
          <w:sz w:val="24"/>
          <w:szCs w:val="24"/>
        </w:rPr>
        <w:t xml:space="preserve"> </w:t>
      </w:r>
    </w:p>
    <w:p w14:paraId="23087935" w14:textId="77777777" w:rsidR="00433F2E" w:rsidRDefault="00433F2E" w:rsidP="00433F2E">
      <w:pPr>
        <w:spacing w:after="0" w:line="252" w:lineRule="auto"/>
        <w:contextualSpacing/>
        <w:jc w:val="both"/>
        <w:rPr>
          <w:rFonts w:eastAsia="Calibri" w:cstheme="minorHAnsi"/>
          <w:sz w:val="24"/>
          <w:szCs w:val="24"/>
        </w:rPr>
      </w:pPr>
    </w:p>
    <w:p w14:paraId="171EB7DB" w14:textId="69C38F41" w:rsidR="00CA7B3D" w:rsidRDefault="002D0C7C" w:rsidP="00433F2E">
      <w:pPr>
        <w:spacing w:after="0" w:line="252" w:lineRule="auto"/>
        <w:contextualSpacing/>
        <w:jc w:val="both"/>
        <w:rPr>
          <w:rFonts w:eastAsia="Calibri" w:cstheme="minorHAnsi"/>
          <w:sz w:val="24"/>
          <w:szCs w:val="24"/>
        </w:rPr>
      </w:pPr>
      <w:r>
        <w:rPr>
          <w:rFonts w:cstheme="minorHAnsi"/>
          <w:sz w:val="24"/>
          <w:szCs w:val="24"/>
        </w:rPr>
        <w:t>4.</w:t>
      </w:r>
      <w:r w:rsidR="00216774">
        <w:rPr>
          <w:rFonts w:cstheme="minorHAnsi"/>
          <w:sz w:val="24"/>
          <w:szCs w:val="24"/>
        </w:rPr>
        <w:t>6</w:t>
      </w:r>
      <w:r>
        <w:rPr>
          <w:rFonts w:cstheme="minorHAnsi"/>
          <w:sz w:val="24"/>
          <w:szCs w:val="24"/>
        </w:rPr>
        <w:t xml:space="preserve"> </w:t>
      </w:r>
      <w:r w:rsidR="00AB7C5F">
        <w:rPr>
          <w:rFonts w:cstheme="minorHAnsi"/>
          <w:sz w:val="24"/>
          <w:szCs w:val="24"/>
        </w:rPr>
        <w:t>O</w:t>
      </w:r>
      <w:r>
        <w:rPr>
          <w:rFonts w:cstheme="minorHAnsi"/>
          <w:sz w:val="24"/>
          <w:szCs w:val="24"/>
        </w:rPr>
        <w:t xml:space="preserve">chrana dopravní infrastruktury </w:t>
      </w:r>
      <w:r w:rsidR="00AB7C5F">
        <w:rPr>
          <w:rFonts w:cstheme="minorHAnsi"/>
          <w:sz w:val="24"/>
          <w:szCs w:val="24"/>
        </w:rPr>
        <w:t>o</w:t>
      </w:r>
      <w:r>
        <w:rPr>
          <w:rFonts w:cstheme="minorHAnsi"/>
          <w:sz w:val="24"/>
          <w:szCs w:val="24"/>
        </w:rPr>
        <w:t>mezení</w:t>
      </w:r>
      <w:r w:rsidR="00AB7C5F">
        <w:rPr>
          <w:rFonts w:cstheme="minorHAnsi"/>
          <w:sz w:val="24"/>
          <w:szCs w:val="24"/>
        </w:rPr>
        <w:t>m</w:t>
      </w:r>
      <w:r>
        <w:rPr>
          <w:rFonts w:cstheme="minorHAnsi"/>
          <w:sz w:val="24"/>
          <w:szCs w:val="24"/>
        </w:rPr>
        <w:t xml:space="preserve"> jízd přetížených vozidel </w:t>
      </w:r>
      <w:r w:rsidR="00AB7C5F">
        <w:rPr>
          <w:rFonts w:cstheme="minorHAnsi"/>
          <w:sz w:val="24"/>
          <w:szCs w:val="24"/>
        </w:rPr>
        <w:t xml:space="preserve">byla úkolem kontrolního vážení </w:t>
      </w:r>
      <w:r>
        <w:rPr>
          <w:rFonts w:cstheme="minorHAnsi"/>
          <w:sz w:val="24"/>
          <w:szCs w:val="24"/>
        </w:rPr>
        <w:t xml:space="preserve">i </w:t>
      </w:r>
      <w:r w:rsidR="00AB7C5F">
        <w:rPr>
          <w:rFonts w:cstheme="minorHAnsi"/>
          <w:sz w:val="24"/>
          <w:szCs w:val="24"/>
        </w:rPr>
        <w:t>podle</w:t>
      </w:r>
      <w:r w:rsidR="00C60751">
        <w:rPr>
          <w:rFonts w:cstheme="minorHAnsi"/>
          <w:sz w:val="24"/>
          <w:szCs w:val="24"/>
        </w:rPr>
        <w:t xml:space="preserve"> </w:t>
      </w:r>
      <w:r>
        <w:rPr>
          <w:rFonts w:cstheme="minorHAnsi"/>
          <w:sz w:val="24"/>
          <w:szCs w:val="24"/>
        </w:rPr>
        <w:t>koncepčních dokumentů resortu dopravy. Např</w:t>
      </w:r>
      <w:r w:rsidR="00DF295A">
        <w:rPr>
          <w:rFonts w:cstheme="minorHAnsi"/>
          <w:sz w:val="24"/>
          <w:szCs w:val="24"/>
        </w:rPr>
        <w:t xml:space="preserve">íklad </w:t>
      </w:r>
      <w:r>
        <w:rPr>
          <w:rFonts w:cstheme="minorHAnsi"/>
          <w:sz w:val="24"/>
          <w:szCs w:val="24"/>
        </w:rPr>
        <w:t>v</w:t>
      </w:r>
      <w:r w:rsidR="00CA7B3D">
        <w:rPr>
          <w:rFonts w:cstheme="minorHAnsi"/>
          <w:sz w:val="24"/>
          <w:szCs w:val="24"/>
        </w:rPr>
        <w:t> </w:t>
      </w:r>
      <w:r w:rsidR="00CA7B3D" w:rsidRPr="004459F3">
        <w:rPr>
          <w:rFonts w:cstheme="minorHAnsi"/>
          <w:i/>
          <w:iCs/>
          <w:sz w:val="24"/>
          <w:szCs w:val="24"/>
        </w:rPr>
        <w:t xml:space="preserve">Dopravní politice </w:t>
      </w:r>
      <w:r w:rsidR="001455A8" w:rsidRPr="004459F3">
        <w:rPr>
          <w:rFonts w:cstheme="minorHAnsi"/>
          <w:i/>
          <w:iCs/>
          <w:sz w:val="24"/>
          <w:szCs w:val="24"/>
        </w:rPr>
        <w:t>České republiky pro období let 2014 až 2020 s výhledem do roku 2050</w:t>
      </w:r>
      <w:r w:rsidR="00160D58">
        <w:rPr>
          <w:rStyle w:val="Znakapoznpodarou"/>
          <w:rFonts w:cstheme="minorHAnsi"/>
          <w:sz w:val="24"/>
          <w:szCs w:val="24"/>
        </w:rPr>
        <w:footnoteReference w:id="27"/>
      </w:r>
      <w:r w:rsidR="00CA7B3D" w:rsidRPr="00BA2045">
        <w:rPr>
          <w:rFonts w:cstheme="minorHAnsi"/>
          <w:sz w:val="24"/>
          <w:szCs w:val="24"/>
        </w:rPr>
        <w:t xml:space="preserve"> </w:t>
      </w:r>
      <w:r w:rsidR="00CA7B3D">
        <w:rPr>
          <w:rFonts w:cstheme="minorHAnsi"/>
          <w:sz w:val="24"/>
          <w:szCs w:val="24"/>
        </w:rPr>
        <w:t>MD uvedlo opatření: „</w:t>
      </w:r>
      <w:r w:rsidR="00CA7B3D" w:rsidRPr="00BA2045">
        <w:rPr>
          <w:rFonts w:cstheme="minorHAnsi"/>
          <w:i/>
          <w:sz w:val="24"/>
          <w:szCs w:val="24"/>
        </w:rPr>
        <w:t>Zavádět stacionární i mobilní systémy vážení za jízdy k eliminaci jízd přetížených nákladních vozidel, které neúměrně poškozují silniční infrastrukturu</w:t>
      </w:r>
      <w:r w:rsidR="00CA7B3D" w:rsidRPr="00BA2045">
        <w:rPr>
          <w:rFonts w:cstheme="minorHAnsi"/>
          <w:sz w:val="24"/>
          <w:szCs w:val="24"/>
        </w:rPr>
        <w:t xml:space="preserve">“. </w:t>
      </w:r>
      <w:r w:rsidR="00CA7B3D">
        <w:rPr>
          <w:rFonts w:cstheme="minorHAnsi"/>
          <w:sz w:val="24"/>
          <w:szCs w:val="24"/>
        </w:rPr>
        <w:t xml:space="preserve">Odpovědné za plnění </w:t>
      </w:r>
      <w:r w:rsidR="00271384">
        <w:rPr>
          <w:rFonts w:cstheme="minorHAnsi"/>
          <w:sz w:val="24"/>
          <w:szCs w:val="24"/>
        </w:rPr>
        <w:t xml:space="preserve">tohoto opatření </w:t>
      </w:r>
      <w:r w:rsidR="00CA7B3D">
        <w:rPr>
          <w:rFonts w:cstheme="minorHAnsi"/>
          <w:sz w:val="24"/>
          <w:szCs w:val="24"/>
        </w:rPr>
        <w:t>byl</w:t>
      </w:r>
      <w:r w:rsidR="00271384">
        <w:rPr>
          <w:rFonts w:cstheme="minorHAnsi"/>
          <w:sz w:val="24"/>
          <w:szCs w:val="24"/>
        </w:rPr>
        <w:t>y</w:t>
      </w:r>
      <w:r w:rsidR="00CA7B3D">
        <w:rPr>
          <w:rFonts w:cstheme="minorHAnsi"/>
          <w:sz w:val="24"/>
          <w:szCs w:val="24"/>
        </w:rPr>
        <w:t xml:space="preserve"> </w:t>
      </w:r>
      <w:r w:rsidR="00CA7B3D" w:rsidRPr="00034163">
        <w:rPr>
          <w:rFonts w:cstheme="minorHAnsi"/>
          <w:sz w:val="24"/>
          <w:szCs w:val="24"/>
        </w:rPr>
        <w:t xml:space="preserve">MD a </w:t>
      </w:r>
      <w:r w:rsidR="00E02430">
        <w:rPr>
          <w:rFonts w:cstheme="minorHAnsi"/>
          <w:sz w:val="24"/>
          <w:szCs w:val="24"/>
        </w:rPr>
        <w:t>ŘSD</w:t>
      </w:r>
      <w:r w:rsidR="00CA7B3D">
        <w:rPr>
          <w:rFonts w:cstheme="minorHAnsi"/>
          <w:sz w:val="24"/>
          <w:szCs w:val="24"/>
        </w:rPr>
        <w:t>.</w:t>
      </w:r>
    </w:p>
    <w:p w14:paraId="59FD6800" w14:textId="77777777" w:rsidR="002A13F1" w:rsidRPr="00271384" w:rsidRDefault="002A13F1" w:rsidP="00433F2E">
      <w:pPr>
        <w:spacing w:after="0" w:line="252" w:lineRule="auto"/>
        <w:contextualSpacing/>
        <w:jc w:val="both"/>
        <w:rPr>
          <w:rFonts w:eastAsia="Calibri" w:cstheme="minorHAnsi"/>
          <w:sz w:val="24"/>
          <w:szCs w:val="24"/>
        </w:rPr>
      </w:pPr>
    </w:p>
    <w:p w14:paraId="187197BF" w14:textId="77777777" w:rsidR="00E5183E" w:rsidRPr="004A60EB" w:rsidRDefault="00E5183E" w:rsidP="00271384">
      <w:pPr>
        <w:pStyle w:val="Odstavecseseznamem"/>
        <w:keepNext/>
        <w:keepLines/>
        <w:numPr>
          <w:ilvl w:val="0"/>
          <w:numId w:val="37"/>
        </w:numPr>
        <w:spacing w:after="0" w:line="252" w:lineRule="auto"/>
        <w:ind w:left="357" w:hanging="357"/>
        <w:jc w:val="both"/>
        <w:rPr>
          <w:rFonts w:eastAsia="Calibri" w:cstheme="minorHAnsi"/>
          <w:sz w:val="24"/>
          <w:szCs w:val="24"/>
        </w:rPr>
      </w:pPr>
      <w:r w:rsidRPr="004A60EB">
        <w:rPr>
          <w:rFonts w:eastAsia="Calibri" w:cstheme="minorHAnsi"/>
          <w:b/>
          <w:i/>
          <w:color w:val="4472C4" w:themeColor="accent5"/>
          <w:sz w:val="24"/>
          <w:szCs w:val="24"/>
        </w:rPr>
        <w:lastRenderedPageBreak/>
        <w:t xml:space="preserve">MD zavedlo systém kontrolního vážení bez </w:t>
      </w:r>
      <w:r w:rsidR="00AC119D">
        <w:rPr>
          <w:rFonts w:eastAsia="Calibri" w:cstheme="minorHAnsi"/>
          <w:b/>
          <w:i/>
          <w:color w:val="4472C4" w:themeColor="accent5"/>
          <w:sz w:val="24"/>
          <w:szCs w:val="24"/>
        </w:rPr>
        <w:t xml:space="preserve">provedení </w:t>
      </w:r>
      <w:r w:rsidR="00E02430" w:rsidRPr="004A60EB">
        <w:rPr>
          <w:rFonts w:eastAsia="Calibri" w:cstheme="minorHAnsi"/>
          <w:b/>
          <w:i/>
          <w:color w:val="4472C4" w:themeColor="accent5"/>
          <w:sz w:val="24"/>
          <w:szCs w:val="24"/>
        </w:rPr>
        <w:t>výběru nejvhodnějšího</w:t>
      </w:r>
      <w:r w:rsidRPr="004A60EB">
        <w:rPr>
          <w:rFonts w:eastAsia="Calibri" w:cstheme="minorHAnsi"/>
          <w:b/>
          <w:i/>
          <w:color w:val="4472C4" w:themeColor="accent5"/>
          <w:sz w:val="24"/>
          <w:szCs w:val="24"/>
        </w:rPr>
        <w:t xml:space="preserve"> řešení</w:t>
      </w:r>
      <w:r w:rsidR="00E02430" w:rsidRPr="004A60EB">
        <w:rPr>
          <w:rFonts w:eastAsia="Calibri" w:cstheme="minorHAnsi"/>
          <w:b/>
          <w:i/>
          <w:color w:val="4472C4" w:themeColor="accent5"/>
          <w:sz w:val="24"/>
          <w:szCs w:val="24"/>
        </w:rPr>
        <w:t>.</w:t>
      </w:r>
    </w:p>
    <w:p w14:paraId="58D745C3" w14:textId="77777777" w:rsidR="00E5183E" w:rsidRDefault="00E5183E" w:rsidP="004459F3">
      <w:pPr>
        <w:keepNext/>
        <w:keepLines/>
        <w:spacing w:after="0" w:line="252" w:lineRule="auto"/>
        <w:contextualSpacing/>
        <w:jc w:val="both"/>
        <w:rPr>
          <w:rFonts w:eastAsia="Calibri" w:cstheme="minorHAnsi"/>
          <w:sz w:val="24"/>
          <w:szCs w:val="24"/>
        </w:rPr>
      </w:pPr>
    </w:p>
    <w:p w14:paraId="559C3FB3" w14:textId="25620FC7" w:rsidR="007F6D91" w:rsidRDefault="00BD6D0B" w:rsidP="007F6D91">
      <w:pPr>
        <w:spacing w:after="0" w:line="252" w:lineRule="auto"/>
        <w:contextualSpacing/>
        <w:jc w:val="both"/>
        <w:rPr>
          <w:rFonts w:eastAsia="Calibri" w:cstheme="minorHAnsi"/>
          <w:sz w:val="24"/>
          <w:szCs w:val="24"/>
        </w:rPr>
      </w:pPr>
      <w:r w:rsidRPr="00220A24">
        <w:rPr>
          <w:rFonts w:eastAsia="Calibri" w:cstheme="minorHAnsi"/>
          <w:sz w:val="24"/>
          <w:szCs w:val="24"/>
        </w:rPr>
        <w:t>4.</w:t>
      </w:r>
      <w:r w:rsidR="00216774">
        <w:rPr>
          <w:rFonts w:eastAsia="Calibri" w:cstheme="minorHAnsi"/>
          <w:sz w:val="24"/>
          <w:szCs w:val="24"/>
        </w:rPr>
        <w:t>7</w:t>
      </w:r>
      <w:r w:rsidR="005818FF" w:rsidRPr="00220A24">
        <w:rPr>
          <w:rFonts w:eastAsia="Calibri" w:cstheme="minorHAnsi"/>
          <w:sz w:val="24"/>
          <w:szCs w:val="24"/>
        </w:rPr>
        <w:t xml:space="preserve"> </w:t>
      </w:r>
      <w:r w:rsidR="007F6D91">
        <w:rPr>
          <w:rFonts w:eastAsia="Calibri" w:cstheme="minorHAnsi"/>
          <w:sz w:val="24"/>
          <w:szCs w:val="24"/>
        </w:rPr>
        <w:t xml:space="preserve">Ve vazbě na smysl a předpokládaný účinek kontrolního vážení vozidel </w:t>
      </w:r>
      <w:r w:rsidR="003C6984">
        <w:rPr>
          <w:rFonts w:eastAsia="Calibri" w:cstheme="minorHAnsi"/>
          <w:sz w:val="24"/>
          <w:szCs w:val="24"/>
        </w:rPr>
        <w:t xml:space="preserve">(obojí bylo blíže rozvedeno </w:t>
      </w:r>
      <w:r w:rsidR="007F6D91">
        <w:rPr>
          <w:rFonts w:eastAsia="Calibri" w:cstheme="minorHAnsi"/>
          <w:sz w:val="24"/>
          <w:szCs w:val="24"/>
        </w:rPr>
        <w:t>v předchozím textu</w:t>
      </w:r>
      <w:r w:rsidR="003C6984">
        <w:rPr>
          <w:rFonts w:eastAsia="Calibri" w:cstheme="minorHAnsi"/>
          <w:sz w:val="24"/>
          <w:szCs w:val="24"/>
        </w:rPr>
        <w:t>)</w:t>
      </w:r>
      <w:r w:rsidR="007F6D91">
        <w:rPr>
          <w:rFonts w:eastAsia="Calibri" w:cstheme="minorHAnsi"/>
          <w:sz w:val="24"/>
          <w:szCs w:val="24"/>
        </w:rPr>
        <w:t xml:space="preserve"> NKÚ </w:t>
      </w:r>
      <w:r w:rsidR="007F6D91" w:rsidRPr="00220A24">
        <w:rPr>
          <w:rFonts w:eastAsia="Calibri" w:cstheme="minorHAnsi"/>
          <w:sz w:val="24"/>
          <w:szCs w:val="24"/>
        </w:rPr>
        <w:t xml:space="preserve">zjišťoval, zda </w:t>
      </w:r>
      <w:r w:rsidR="007F6D91" w:rsidRPr="00002A85">
        <w:rPr>
          <w:rFonts w:eastAsia="Calibri" w:cstheme="minorHAnsi"/>
          <w:sz w:val="24"/>
          <w:szCs w:val="24"/>
        </w:rPr>
        <w:t>MD</w:t>
      </w:r>
      <w:r w:rsidR="00002A85" w:rsidRPr="00002A85">
        <w:rPr>
          <w:rFonts w:eastAsia="Calibri" w:cstheme="minorHAnsi"/>
          <w:sz w:val="24"/>
          <w:szCs w:val="24"/>
        </w:rPr>
        <w:t xml:space="preserve"> </w:t>
      </w:r>
      <w:r w:rsidR="007F6D91" w:rsidRPr="00002A85">
        <w:rPr>
          <w:rFonts w:eastAsia="Calibri" w:cstheme="minorHAnsi"/>
          <w:sz w:val="24"/>
          <w:szCs w:val="24"/>
        </w:rPr>
        <w:t>vyhodnotilo</w:t>
      </w:r>
      <w:r w:rsidR="007F6D91" w:rsidRPr="00220A24">
        <w:rPr>
          <w:rFonts w:eastAsia="Calibri" w:cstheme="minorHAnsi"/>
          <w:sz w:val="24"/>
          <w:szCs w:val="24"/>
        </w:rPr>
        <w:t xml:space="preserve"> </w:t>
      </w:r>
      <w:r w:rsidR="007F6D91">
        <w:rPr>
          <w:rFonts w:eastAsia="Calibri" w:cstheme="minorHAnsi"/>
          <w:sz w:val="24"/>
          <w:szCs w:val="24"/>
        </w:rPr>
        <w:t xml:space="preserve">možnosti jeho nastavení tak, aby </w:t>
      </w:r>
      <w:r w:rsidR="003C6984">
        <w:rPr>
          <w:rFonts w:eastAsia="Calibri" w:cstheme="minorHAnsi"/>
          <w:sz w:val="24"/>
          <w:szCs w:val="24"/>
        </w:rPr>
        <w:t xml:space="preserve">kontrolní vážení </w:t>
      </w:r>
      <w:r w:rsidR="007F6D91">
        <w:rPr>
          <w:rFonts w:eastAsia="Calibri" w:cstheme="minorHAnsi"/>
          <w:sz w:val="24"/>
          <w:szCs w:val="24"/>
        </w:rPr>
        <w:t>vedl</w:t>
      </w:r>
      <w:r w:rsidR="003C6984">
        <w:rPr>
          <w:rFonts w:eastAsia="Calibri" w:cstheme="minorHAnsi"/>
          <w:sz w:val="24"/>
          <w:szCs w:val="24"/>
        </w:rPr>
        <w:t>o</w:t>
      </w:r>
      <w:r w:rsidR="007F6D91">
        <w:rPr>
          <w:rFonts w:eastAsia="Calibri" w:cstheme="minorHAnsi"/>
          <w:sz w:val="24"/>
          <w:szCs w:val="24"/>
        </w:rPr>
        <w:t xml:space="preserve"> k účelné represi a prevenci jízd přetížených vozidel, a tedy k omezování poškozování dopravní infrastruktury těmito vozidly. Rovněž prověřoval, </w:t>
      </w:r>
      <w:r w:rsidR="007F6D91" w:rsidRPr="00220A24">
        <w:rPr>
          <w:rFonts w:eastAsia="Calibri" w:cstheme="minorHAnsi"/>
          <w:sz w:val="24"/>
          <w:szCs w:val="24"/>
        </w:rPr>
        <w:t xml:space="preserve">zda </w:t>
      </w:r>
      <w:r w:rsidR="007F6D91">
        <w:rPr>
          <w:rFonts w:eastAsia="Calibri" w:cstheme="minorHAnsi"/>
          <w:sz w:val="24"/>
          <w:szCs w:val="24"/>
        </w:rPr>
        <w:t xml:space="preserve">MD ve spolupráci s ŘSD </w:t>
      </w:r>
      <w:r w:rsidR="007F6D91" w:rsidRPr="00220A24">
        <w:rPr>
          <w:rFonts w:eastAsia="Calibri" w:cstheme="minorHAnsi"/>
          <w:sz w:val="24"/>
          <w:szCs w:val="24"/>
        </w:rPr>
        <w:t xml:space="preserve">vytvořilo podmínky </w:t>
      </w:r>
      <w:r w:rsidR="007F6D91">
        <w:rPr>
          <w:rFonts w:eastAsia="Calibri" w:cstheme="minorHAnsi"/>
          <w:sz w:val="24"/>
          <w:szCs w:val="24"/>
        </w:rPr>
        <w:t xml:space="preserve">pro </w:t>
      </w:r>
      <w:r w:rsidR="007F6D91" w:rsidRPr="00220A24">
        <w:rPr>
          <w:rFonts w:eastAsia="Calibri" w:cstheme="minorHAnsi"/>
          <w:sz w:val="24"/>
          <w:szCs w:val="24"/>
        </w:rPr>
        <w:t xml:space="preserve">úspěšnou implementaci </w:t>
      </w:r>
      <w:r w:rsidR="007F6D91">
        <w:rPr>
          <w:rFonts w:eastAsia="Calibri" w:cstheme="minorHAnsi"/>
          <w:sz w:val="24"/>
          <w:szCs w:val="24"/>
        </w:rPr>
        <w:t>vybraného řešení</w:t>
      </w:r>
      <w:r w:rsidR="007F6D91" w:rsidRPr="00220A24">
        <w:rPr>
          <w:rFonts w:eastAsia="Calibri" w:cstheme="minorHAnsi"/>
          <w:sz w:val="24"/>
          <w:szCs w:val="24"/>
        </w:rPr>
        <w:t xml:space="preserve"> </w:t>
      </w:r>
      <w:r w:rsidR="007F6D91">
        <w:rPr>
          <w:rFonts w:eastAsia="Calibri" w:cstheme="minorHAnsi"/>
          <w:sz w:val="24"/>
          <w:szCs w:val="24"/>
        </w:rPr>
        <w:t xml:space="preserve">i </w:t>
      </w:r>
      <w:r w:rsidR="007F6D91" w:rsidRPr="00220A24">
        <w:rPr>
          <w:rFonts w:eastAsia="Calibri" w:cstheme="minorHAnsi"/>
          <w:sz w:val="24"/>
          <w:szCs w:val="24"/>
        </w:rPr>
        <w:t>pro vyhodnocování dosažených výsledků.</w:t>
      </w:r>
    </w:p>
    <w:p w14:paraId="6644AB83" w14:textId="77777777" w:rsidR="00052107" w:rsidRDefault="00052107" w:rsidP="005A0D66">
      <w:pPr>
        <w:spacing w:after="0" w:line="252" w:lineRule="auto"/>
        <w:contextualSpacing/>
        <w:jc w:val="both"/>
        <w:rPr>
          <w:rFonts w:eastAsia="Calibri" w:cstheme="minorHAnsi"/>
          <w:sz w:val="24"/>
          <w:szCs w:val="24"/>
        </w:rPr>
      </w:pPr>
    </w:p>
    <w:p w14:paraId="7374B999" w14:textId="6D26DE76" w:rsidR="000C3D24" w:rsidRDefault="00DF295A" w:rsidP="005A0D66">
      <w:pPr>
        <w:spacing w:after="0" w:line="252" w:lineRule="auto"/>
        <w:contextualSpacing/>
        <w:jc w:val="both"/>
        <w:rPr>
          <w:rFonts w:cstheme="minorHAnsi"/>
          <w:sz w:val="24"/>
          <w:szCs w:val="24"/>
        </w:rPr>
      </w:pPr>
      <w:r>
        <w:rPr>
          <w:rFonts w:eastAsia="Calibri" w:cstheme="minorHAnsi"/>
          <w:sz w:val="24"/>
          <w:szCs w:val="24"/>
        </w:rPr>
        <w:t>4.</w:t>
      </w:r>
      <w:r w:rsidR="00216774">
        <w:rPr>
          <w:rFonts w:eastAsia="Calibri" w:cstheme="minorHAnsi"/>
          <w:sz w:val="24"/>
          <w:szCs w:val="24"/>
        </w:rPr>
        <w:t>8</w:t>
      </w:r>
      <w:r>
        <w:rPr>
          <w:rFonts w:eastAsia="Calibri" w:cstheme="minorHAnsi"/>
          <w:sz w:val="24"/>
          <w:szCs w:val="24"/>
        </w:rPr>
        <w:t xml:space="preserve"> </w:t>
      </w:r>
      <w:r w:rsidR="00D76DF9" w:rsidRPr="00220A24">
        <w:rPr>
          <w:rFonts w:eastAsia="Calibri" w:cstheme="minorHAnsi"/>
          <w:sz w:val="24"/>
          <w:szCs w:val="24"/>
        </w:rPr>
        <w:t xml:space="preserve">NKÚ </w:t>
      </w:r>
      <w:r w:rsidR="00D76DF9">
        <w:rPr>
          <w:rFonts w:eastAsia="Calibri" w:cstheme="minorHAnsi"/>
          <w:sz w:val="24"/>
          <w:szCs w:val="24"/>
        </w:rPr>
        <w:t xml:space="preserve">zjistil, že </w:t>
      </w:r>
      <w:r w:rsidR="00522C07" w:rsidRPr="005A0D66">
        <w:rPr>
          <w:rFonts w:eastAsia="Calibri" w:cstheme="minorHAnsi"/>
          <w:sz w:val="24"/>
          <w:szCs w:val="24"/>
        </w:rPr>
        <w:t xml:space="preserve">MD </w:t>
      </w:r>
      <w:r w:rsidR="00FB616C" w:rsidRPr="005A0D66">
        <w:rPr>
          <w:rFonts w:eastAsia="Calibri" w:cstheme="minorHAnsi"/>
          <w:sz w:val="24"/>
          <w:szCs w:val="24"/>
        </w:rPr>
        <w:t xml:space="preserve">kontrolní vážení </w:t>
      </w:r>
      <w:r w:rsidR="008A64AC" w:rsidRPr="005A0D66">
        <w:rPr>
          <w:rFonts w:eastAsia="Calibri" w:cstheme="minorHAnsi"/>
          <w:sz w:val="24"/>
          <w:szCs w:val="24"/>
        </w:rPr>
        <w:t>zavedl</w:t>
      </w:r>
      <w:r w:rsidR="005A0D66">
        <w:rPr>
          <w:rFonts w:eastAsia="Calibri" w:cstheme="minorHAnsi"/>
          <w:sz w:val="24"/>
          <w:szCs w:val="24"/>
        </w:rPr>
        <w:t>o</w:t>
      </w:r>
      <w:r w:rsidR="008A64AC" w:rsidRPr="005A0D66">
        <w:rPr>
          <w:rFonts w:eastAsia="Calibri" w:cstheme="minorHAnsi"/>
          <w:sz w:val="24"/>
          <w:szCs w:val="24"/>
        </w:rPr>
        <w:t xml:space="preserve"> </w:t>
      </w:r>
      <w:r w:rsidR="00FB616C" w:rsidRPr="005A0D66">
        <w:rPr>
          <w:rFonts w:eastAsia="Calibri" w:cstheme="minorHAnsi"/>
          <w:sz w:val="24"/>
          <w:szCs w:val="24"/>
        </w:rPr>
        <w:t xml:space="preserve">bez </w:t>
      </w:r>
      <w:r w:rsidR="00E73A06" w:rsidRPr="003A5C60">
        <w:rPr>
          <w:rFonts w:cstheme="minorHAnsi"/>
          <w:sz w:val="24"/>
          <w:szCs w:val="24"/>
        </w:rPr>
        <w:t>vyhodnocení výchozího stavu a možností řešení dopadů jízd přetížených vozidel</w:t>
      </w:r>
      <w:r w:rsidR="005A0D66">
        <w:rPr>
          <w:rFonts w:eastAsia="Calibri" w:cstheme="minorHAnsi"/>
          <w:sz w:val="24"/>
          <w:szCs w:val="24"/>
        </w:rPr>
        <w:t xml:space="preserve">. </w:t>
      </w:r>
      <w:r w:rsidR="005A0D66">
        <w:rPr>
          <w:rFonts w:cstheme="minorHAnsi"/>
          <w:sz w:val="24"/>
          <w:szCs w:val="24"/>
        </w:rPr>
        <w:t>P</w:t>
      </w:r>
      <w:r w:rsidR="00231397" w:rsidRPr="009B01DA">
        <w:rPr>
          <w:rFonts w:cstheme="minorHAnsi"/>
          <w:sz w:val="24"/>
          <w:szCs w:val="24"/>
        </w:rPr>
        <w:t xml:space="preserve">ři zavedení kontrolního vážení v červenci 2000 ani při zavedení </w:t>
      </w:r>
      <w:r w:rsidR="00BD6D0B" w:rsidRPr="009B01DA">
        <w:rPr>
          <w:rFonts w:cstheme="minorHAnsi"/>
          <w:sz w:val="24"/>
          <w:szCs w:val="24"/>
        </w:rPr>
        <w:t>VKV</w:t>
      </w:r>
      <w:r w:rsidR="00231397" w:rsidRPr="009B01DA">
        <w:rPr>
          <w:rFonts w:cstheme="minorHAnsi"/>
          <w:sz w:val="24"/>
          <w:szCs w:val="24"/>
        </w:rPr>
        <w:t xml:space="preserve"> v lednu 2010 </w:t>
      </w:r>
      <w:r w:rsidR="00E46990">
        <w:rPr>
          <w:rFonts w:cstheme="minorHAnsi"/>
          <w:sz w:val="24"/>
          <w:szCs w:val="24"/>
        </w:rPr>
        <w:t xml:space="preserve">neprovedlo </w:t>
      </w:r>
      <w:r w:rsidR="00E73A06">
        <w:rPr>
          <w:rFonts w:cstheme="minorHAnsi"/>
          <w:sz w:val="24"/>
          <w:szCs w:val="24"/>
        </w:rPr>
        <w:t>žádnou analýzu</w:t>
      </w:r>
      <w:r w:rsidR="00B74D2B" w:rsidRPr="009B01DA">
        <w:rPr>
          <w:rFonts w:cstheme="minorHAnsi"/>
          <w:sz w:val="24"/>
          <w:szCs w:val="24"/>
        </w:rPr>
        <w:t xml:space="preserve">. </w:t>
      </w:r>
      <w:r w:rsidR="00BD6D0B" w:rsidRPr="004459F3">
        <w:rPr>
          <w:rFonts w:cstheme="minorHAnsi"/>
          <w:i/>
          <w:iCs/>
          <w:sz w:val="24"/>
          <w:szCs w:val="24"/>
        </w:rPr>
        <w:t>Studii – ITS a C-ITS pro ochranu dálniční a silniční sítě ŘSD</w:t>
      </w:r>
      <w:r w:rsidR="00BD6D0B" w:rsidRPr="009B01DA">
        <w:rPr>
          <w:rFonts w:cstheme="minorHAnsi"/>
          <w:sz w:val="24"/>
          <w:szCs w:val="24"/>
        </w:rPr>
        <w:t xml:space="preserve"> mapující možnosti a obsahující </w:t>
      </w:r>
      <w:r w:rsidR="001864D5">
        <w:rPr>
          <w:rFonts w:cstheme="minorHAnsi"/>
          <w:sz w:val="24"/>
          <w:szCs w:val="24"/>
        </w:rPr>
        <w:t>i</w:t>
      </w:r>
      <w:r w:rsidR="00F65544">
        <w:rPr>
          <w:rFonts w:cstheme="minorHAnsi"/>
          <w:sz w:val="24"/>
          <w:szCs w:val="24"/>
        </w:rPr>
        <w:t xml:space="preserve"> </w:t>
      </w:r>
      <w:r w:rsidR="00BD6D0B" w:rsidRPr="009B01DA">
        <w:rPr>
          <w:rFonts w:cstheme="minorHAnsi"/>
          <w:sz w:val="24"/>
          <w:szCs w:val="24"/>
        </w:rPr>
        <w:t xml:space="preserve">doporučení pro zavádění VKV získalo </w:t>
      </w:r>
      <w:r w:rsidR="003C6984" w:rsidRPr="009B01DA">
        <w:rPr>
          <w:rFonts w:cstheme="minorHAnsi"/>
          <w:sz w:val="24"/>
          <w:szCs w:val="24"/>
        </w:rPr>
        <w:t xml:space="preserve">ŘSD </w:t>
      </w:r>
      <w:r w:rsidR="00BD6D0B" w:rsidRPr="009B01DA">
        <w:rPr>
          <w:rFonts w:cstheme="minorHAnsi"/>
          <w:sz w:val="24"/>
          <w:szCs w:val="24"/>
        </w:rPr>
        <w:t>až v červenci 2021</w:t>
      </w:r>
      <w:r w:rsidR="00551AC9">
        <w:rPr>
          <w:rFonts w:cstheme="minorHAnsi"/>
          <w:sz w:val="24"/>
          <w:szCs w:val="24"/>
        </w:rPr>
        <w:t>. MD</w:t>
      </w:r>
      <w:r w:rsidR="005A0D66">
        <w:rPr>
          <w:rFonts w:cstheme="minorHAnsi"/>
          <w:sz w:val="24"/>
          <w:szCs w:val="24"/>
        </w:rPr>
        <w:t xml:space="preserve"> </w:t>
      </w:r>
      <w:r w:rsidR="00FC50FA">
        <w:rPr>
          <w:rFonts w:cstheme="minorHAnsi"/>
          <w:sz w:val="24"/>
          <w:szCs w:val="24"/>
        </w:rPr>
        <w:t xml:space="preserve">ale </w:t>
      </w:r>
      <w:r w:rsidR="00F65544">
        <w:rPr>
          <w:rFonts w:cstheme="minorHAnsi"/>
          <w:sz w:val="24"/>
          <w:szCs w:val="24"/>
        </w:rPr>
        <w:t>podle těchto doporučení nepostupovalo</w:t>
      </w:r>
      <w:r w:rsidR="005A0D66">
        <w:rPr>
          <w:rFonts w:cstheme="minorHAnsi"/>
          <w:sz w:val="24"/>
          <w:szCs w:val="24"/>
        </w:rPr>
        <w:t>.</w:t>
      </w:r>
      <w:r w:rsidR="00BD6D0B" w:rsidRPr="009B01DA">
        <w:rPr>
          <w:rFonts w:cstheme="minorHAnsi"/>
          <w:sz w:val="24"/>
          <w:szCs w:val="24"/>
        </w:rPr>
        <w:t xml:space="preserve"> </w:t>
      </w:r>
      <w:r w:rsidR="001123F3" w:rsidRPr="005A0D66">
        <w:rPr>
          <w:rFonts w:cstheme="minorHAnsi"/>
          <w:sz w:val="24"/>
          <w:szCs w:val="24"/>
        </w:rPr>
        <w:t xml:space="preserve">Vliv zavedení kontrolního vážení na dálnicích a silnicích I. třídy na </w:t>
      </w:r>
      <w:r w:rsidR="002C5989">
        <w:rPr>
          <w:rFonts w:cstheme="minorHAnsi"/>
          <w:sz w:val="24"/>
          <w:szCs w:val="24"/>
        </w:rPr>
        <w:t>možné „</w:t>
      </w:r>
      <w:r w:rsidR="001123F3" w:rsidRPr="005A0D66">
        <w:rPr>
          <w:rFonts w:cstheme="minorHAnsi"/>
          <w:sz w:val="24"/>
          <w:szCs w:val="24"/>
        </w:rPr>
        <w:t>vytěsnění</w:t>
      </w:r>
      <w:r w:rsidR="002C5989">
        <w:rPr>
          <w:rFonts w:cstheme="minorHAnsi"/>
          <w:sz w:val="24"/>
          <w:szCs w:val="24"/>
        </w:rPr>
        <w:t>“</w:t>
      </w:r>
      <w:r w:rsidR="001123F3" w:rsidRPr="005A0D66">
        <w:rPr>
          <w:rFonts w:cstheme="minorHAnsi"/>
          <w:sz w:val="24"/>
          <w:szCs w:val="24"/>
        </w:rPr>
        <w:t xml:space="preserve"> přetížených vozidel na silnice nižších tříd MD rovněž nevyhodno</w:t>
      </w:r>
      <w:r w:rsidR="00FC50FA">
        <w:rPr>
          <w:rFonts w:cstheme="minorHAnsi"/>
          <w:sz w:val="24"/>
          <w:szCs w:val="24"/>
        </w:rPr>
        <w:t>ti</w:t>
      </w:r>
      <w:r w:rsidR="001123F3" w:rsidRPr="005A0D66">
        <w:rPr>
          <w:rFonts w:cstheme="minorHAnsi"/>
          <w:sz w:val="24"/>
          <w:szCs w:val="24"/>
        </w:rPr>
        <w:t>lo</w:t>
      </w:r>
      <w:r w:rsidR="000D3E52" w:rsidRPr="005A0D66">
        <w:rPr>
          <w:rFonts w:cstheme="minorHAnsi"/>
          <w:sz w:val="24"/>
          <w:szCs w:val="24"/>
        </w:rPr>
        <w:t>.</w:t>
      </w:r>
    </w:p>
    <w:p w14:paraId="600109D5" w14:textId="77777777" w:rsidR="0005428A" w:rsidRDefault="0005428A" w:rsidP="005A0D66">
      <w:pPr>
        <w:spacing w:after="0" w:line="252" w:lineRule="auto"/>
        <w:contextualSpacing/>
        <w:jc w:val="both"/>
        <w:rPr>
          <w:rFonts w:cstheme="minorHAnsi"/>
          <w:sz w:val="24"/>
          <w:szCs w:val="24"/>
        </w:rPr>
      </w:pPr>
    </w:p>
    <w:p w14:paraId="22E315E9" w14:textId="07314869" w:rsidR="008955F3" w:rsidRDefault="0005428A" w:rsidP="005A0D66">
      <w:pPr>
        <w:spacing w:after="0" w:line="252" w:lineRule="auto"/>
        <w:contextualSpacing/>
        <w:jc w:val="both"/>
        <w:rPr>
          <w:rFonts w:cstheme="minorHAnsi"/>
          <w:sz w:val="24"/>
          <w:szCs w:val="24"/>
        </w:rPr>
      </w:pPr>
      <w:r>
        <w:rPr>
          <w:rFonts w:cstheme="minorHAnsi"/>
          <w:sz w:val="24"/>
          <w:szCs w:val="24"/>
        </w:rPr>
        <w:t>4.</w:t>
      </w:r>
      <w:r w:rsidR="00216774">
        <w:rPr>
          <w:rFonts w:cstheme="minorHAnsi"/>
          <w:sz w:val="24"/>
          <w:szCs w:val="24"/>
        </w:rPr>
        <w:t>9</w:t>
      </w:r>
      <w:r>
        <w:rPr>
          <w:rFonts w:cstheme="minorHAnsi"/>
          <w:sz w:val="24"/>
          <w:szCs w:val="24"/>
        </w:rPr>
        <w:t xml:space="preserve"> </w:t>
      </w:r>
      <w:r w:rsidR="00E02430">
        <w:rPr>
          <w:rFonts w:cstheme="minorHAnsi"/>
          <w:sz w:val="24"/>
          <w:szCs w:val="24"/>
        </w:rPr>
        <w:t xml:space="preserve">MD </w:t>
      </w:r>
      <w:r w:rsidR="002975D5">
        <w:rPr>
          <w:rFonts w:cstheme="minorHAnsi"/>
          <w:sz w:val="24"/>
          <w:szCs w:val="24"/>
        </w:rPr>
        <w:t>nestanovilo ž</w:t>
      </w:r>
      <w:r w:rsidR="002975D5" w:rsidRPr="00BA2045">
        <w:rPr>
          <w:rFonts w:cstheme="minorHAnsi"/>
          <w:sz w:val="24"/>
          <w:szCs w:val="24"/>
        </w:rPr>
        <w:t xml:space="preserve">ádné </w:t>
      </w:r>
      <w:r w:rsidR="002975D5">
        <w:rPr>
          <w:rFonts w:cstheme="minorHAnsi"/>
          <w:sz w:val="24"/>
          <w:szCs w:val="24"/>
        </w:rPr>
        <w:t xml:space="preserve">měřitelné cíle ani ukazatele umožňující sledování výsledků </w:t>
      </w:r>
      <w:r w:rsidR="00E02430">
        <w:rPr>
          <w:rFonts w:cstheme="minorHAnsi"/>
          <w:sz w:val="24"/>
          <w:szCs w:val="24"/>
        </w:rPr>
        <w:t xml:space="preserve">kontrolního vážení </w:t>
      </w:r>
      <w:r w:rsidR="002975D5">
        <w:rPr>
          <w:rFonts w:cstheme="minorHAnsi"/>
          <w:sz w:val="24"/>
          <w:szCs w:val="24"/>
        </w:rPr>
        <w:t xml:space="preserve">a </w:t>
      </w:r>
      <w:r w:rsidR="00E02430">
        <w:rPr>
          <w:rFonts w:cstheme="minorHAnsi"/>
          <w:sz w:val="24"/>
          <w:szCs w:val="24"/>
        </w:rPr>
        <w:t>jeho vlivu</w:t>
      </w:r>
      <w:r w:rsidR="00A66F29">
        <w:rPr>
          <w:rFonts w:cstheme="minorHAnsi"/>
          <w:sz w:val="24"/>
          <w:szCs w:val="24"/>
        </w:rPr>
        <w:t xml:space="preserve"> </w:t>
      </w:r>
      <w:r w:rsidR="009A0E3C">
        <w:rPr>
          <w:rFonts w:cstheme="minorHAnsi"/>
          <w:sz w:val="24"/>
          <w:szCs w:val="24"/>
        </w:rPr>
        <w:t>na jízdy přetížených vozidel a poškozování dopravní infrastruktury.</w:t>
      </w:r>
      <w:r w:rsidR="00220A24">
        <w:rPr>
          <w:rFonts w:cstheme="minorHAnsi"/>
          <w:sz w:val="24"/>
          <w:szCs w:val="24"/>
        </w:rPr>
        <w:t xml:space="preserve"> Nevytvořilo tak předpoklady pro vyhodnocení efektivnosti </w:t>
      </w:r>
      <w:r w:rsidR="000A4C67">
        <w:rPr>
          <w:rFonts w:cstheme="minorHAnsi"/>
          <w:sz w:val="24"/>
          <w:szCs w:val="24"/>
        </w:rPr>
        <w:t xml:space="preserve">a účelnosti </w:t>
      </w:r>
      <w:r w:rsidR="00220A24">
        <w:rPr>
          <w:rFonts w:cstheme="minorHAnsi"/>
          <w:sz w:val="24"/>
          <w:szCs w:val="24"/>
        </w:rPr>
        <w:t xml:space="preserve">vynakládání peněžních prostředků </w:t>
      </w:r>
      <w:r w:rsidR="008A01ED">
        <w:rPr>
          <w:rFonts w:cstheme="minorHAnsi"/>
          <w:sz w:val="24"/>
          <w:szCs w:val="24"/>
        </w:rPr>
        <w:t xml:space="preserve">státu </w:t>
      </w:r>
      <w:r w:rsidR="00220A24">
        <w:rPr>
          <w:rFonts w:cstheme="minorHAnsi"/>
          <w:sz w:val="24"/>
          <w:szCs w:val="24"/>
        </w:rPr>
        <w:t xml:space="preserve">v této oblasti. </w:t>
      </w:r>
      <w:r w:rsidR="00C931C8">
        <w:rPr>
          <w:rFonts w:cstheme="minorHAnsi"/>
          <w:sz w:val="24"/>
          <w:szCs w:val="24"/>
        </w:rPr>
        <w:t xml:space="preserve">MD ani ŘSD neměly žádný </w:t>
      </w:r>
      <w:r w:rsidR="00C931C8" w:rsidRPr="002C4E3B">
        <w:rPr>
          <w:rFonts w:cstheme="minorHAnsi"/>
          <w:sz w:val="24"/>
          <w:szCs w:val="24"/>
        </w:rPr>
        <w:t>konkrétní plán pro vybudování a využití systému kontrolního vážení</w:t>
      </w:r>
      <w:r w:rsidR="00C931C8">
        <w:rPr>
          <w:rFonts w:cstheme="minorHAnsi"/>
          <w:sz w:val="24"/>
          <w:szCs w:val="24"/>
        </w:rPr>
        <w:t xml:space="preserve"> nebo pro koordinaci VKV a NKV</w:t>
      </w:r>
      <w:r w:rsidR="00C931C8" w:rsidRPr="002C4E3B">
        <w:rPr>
          <w:rFonts w:cstheme="minorHAnsi"/>
          <w:sz w:val="24"/>
          <w:szCs w:val="24"/>
        </w:rPr>
        <w:t>.</w:t>
      </w:r>
      <w:r w:rsidR="00C931C8">
        <w:rPr>
          <w:rFonts w:cstheme="minorHAnsi"/>
          <w:sz w:val="24"/>
          <w:szCs w:val="24"/>
        </w:rPr>
        <w:t xml:space="preserve"> </w:t>
      </w:r>
      <w:r w:rsidR="00220A24">
        <w:rPr>
          <w:rFonts w:cstheme="minorHAnsi"/>
          <w:sz w:val="24"/>
          <w:szCs w:val="24"/>
        </w:rPr>
        <w:t xml:space="preserve">Postup budování VKV byl měněn bez vyhodnocení dopadů změn na plnění </w:t>
      </w:r>
      <w:r w:rsidR="008A01ED">
        <w:rPr>
          <w:rFonts w:cstheme="minorHAnsi"/>
          <w:sz w:val="24"/>
          <w:szCs w:val="24"/>
        </w:rPr>
        <w:t xml:space="preserve">stanovených </w:t>
      </w:r>
      <w:r w:rsidR="00220A24">
        <w:rPr>
          <w:rFonts w:cstheme="minorHAnsi"/>
          <w:sz w:val="24"/>
          <w:szCs w:val="24"/>
        </w:rPr>
        <w:t>úkolů kontrolního vážení.</w:t>
      </w:r>
    </w:p>
    <w:p w14:paraId="7CCC43D6" w14:textId="77777777" w:rsidR="008A01ED" w:rsidRDefault="008A01ED" w:rsidP="005A0D66">
      <w:pPr>
        <w:spacing w:after="0" w:line="252" w:lineRule="auto"/>
        <w:contextualSpacing/>
        <w:jc w:val="both"/>
        <w:rPr>
          <w:rFonts w:cstheme="minorHAnsi"/>
          <w:sz w:val="24"/>
          <w:szCs w:val="24"/>
        </w:rPr>
      </w:pPr>
    </w:p>
    <w:p w14:paraId="435371C9" w14:textId="299BD678" w:rsidR="004A09F6" w:rsidRDefault="008955F3" w:rsidP="005A0D66">
      <w:pPr>
        <w:spacing w:after="0" w:line="252" w:lineRule="auto"/>
        <w:contextualSpacing/>
        <w:jc w:val="both"/>
        <w:rPr>
          <w:rFonts w:cstheme="minorHAnsi"/>
          <w:sz w:val="24"/>
          <w:szCs w:val="24"/>
        </w:rPr>
      </w:pPr>
      <w:r>
        <w:rPr>
          <w:rFonts w:cstheme="minorHAnsi"/>
          <w:sz w:val="24"/>
          <w:szCs w:val="24"/>
        </w:rPr>
        <w:t>4.</w:t>
      </w:r>
      <w:r w:rsidR="00216774">
        <w:rPr>
          <w:rFonts w:cstheme="minorHAnsi"/>
          <w:sz w:val="24"/>
          <w:szCs w:val="24"/>
        </w:rPr>
        <w:t>10</w:t>
      </w:r>
      <w:r>
        <w:rPr>
          <w:rFonts w:cstheme="minorHAnsi"/>
          <w:sz w:val="24"/>
          <w:szCs w:val="24"/>
        </w:rPr>
        <w:t xml:space="preserve"> </w:t>
      </w:r>
      <w:r w:rsidR="00E02430">
        <w:rPr>
          <w:rFonts w:cstheme="minorHAnsi"/>
          <w:sz w:val="24"/>
          <w:szCs w:val="24"/>
        </w:rPr>
        <w:t xml:space="preserve">MD </w:t>
      </w:r>
      <w:r w:rsidR="008B2678">
        <w:rPr>
          <w:rFonts w:cstheme="minorHAnsi"/>
          <w:sz w:val="24"/>
          <w:szCs w:val="24"/>
        </w:rPr>
        <w:t xml:space="preserve">v </w:t>
      </w:r>
      <w:r w:rsidR="008B2678" w:rsidRPr="004459F3">
        <w:rPr>
          <w:rFonts w:cstheme="minorHAnsi"/>
          <w:i/>
          <w:iCs/>
          <w:sz w:val="24"/>
          <w:szCs w:val="24"/>
        </w:rPr>
        <w:t xml:space="preserve">Akčním plánu rozvoje inteligentních dopravních systémů (ITS) v ČR do roku 2020 </w:t>
      </w:r>
      <w:r w:rsidR="0028088D" w:rsidRPr="004459F3">
        <w:rPr>
          <w:rFonts w:cstheme="minorHAnsi"/>
          <w:i/>
          <w:iCs/>
          <w:sz w:val="24"/>
          <w:szCs w:val="24"/>
        </w:rPr>
        <w:br/>
      </w:r>
      <w:r w:rsidR="008B2678" w:rsidRPr="004459F3">
        <w:rPr>
          <w:rFonts w:cstheme="minorHAnsi"/>
          <w:i/>
          <w:iCs/>
          <w:sz w:val="24"/>
          <w:szCs w:val="24"/>
        </w:rPr>
        <w:t>(s výhledem do roku 2050)</w:t>
      </w:r>
      <w:r w:rsidR="008B2678">
        <w:rPr>
          <w:rFonts w:cstheme="minorHAnsi"/>
          <w:sz w:val="24"/>
          <w:szCs w:val="24"/>
        </w:rPr>
        <w:t xml:space="preserve"> bez bližšího vysvětlení odhadlo cílový stav na 100 zařízení pro VKV na dálnicích a silnicích I. třídy. V navazujícím </w:t>
      </w:r>
      <w:r w:rsidR="003C6984">
        <w:rPr>
          <w:rFonts w:cstheme="minorHAnsi"/>
          <w:sz w:val="24"/>
          <w:szCs w:val="24"/>
        </w:rPr>
        <w:t>i</w:t>
      </w:r>
      <w:r w:rsidR="009261EC" w:rsidRPr="009261EC">
        <w:rPr>
          <w:rFonts w:cstheme="minorHAnsi"/>
          <w:sz w:val="24"/>
          <w:szCs w:val="24"/>
        </w:rPr>
        <w:t>mplementační</w:t>
      </w:r>
      <w:r w:rsidR="008B2678">
        <w:rPr>
          <w:rFonts w:cstheme="minorHAnsi"/>
          <w:sz w:val="24"/>
          <w:szCs w:val="24"/>
        </w:rPr>
        <w:t>m</w:t>
      </w:r>
      <w:r w:rsidR="009261EC" w:rsidRPr="009261EC">
        <w:rPr>
          <w:rFonts w:cstheme="minorHAnsi"/>
          <w:sz w:val="24"/>
          <w:szCs w:val="24"/>
        </w:rPr>
        <w:t xml:space="preserve"> plánu k</w:t>
      </w:r>
      <w:r w:rsidR="008B2678">
        <w:rPr>
          <w:rFonts w:cstheme="minorHAnsi"/>
          <w:sz w:val="24"/>
          <w:szCs w:val="24"/>
        </w:rPr>
        <w:t xml:space="preserve">e zmíněnému </w:t>
      </w:r>
      <w:r w:rsidR="003C6984">
        <w:rPr>
          <w:rFonts w:cstheme="minorHAnsi"/>
          <w:sz w:val="24"/>
          <w:szCs w:val="24"/>
        </w:rPr>
        <w:t>a</w:t>
      </w:r>
      <w:r w:rsidR="009261EC" w:rsidRPr="009261EC">
        <w:rPr>
          <w:rFonts w:cstheme="minorHAnsi"/>
          <w:sz w:val="24"/>
          <w:szCs w:val="24"/>
        </w:rPr>
        <w:t>kčnímu plánu</w:t>
      </w:r>
      <w:r w:rsidR="00160D58">
        <w:rPr>
          <w:rStyle w:val="Znakapoznpodarou"/>
          <w:rFonts w:cstheme="minorHAnsi"/>
          <w:sz w:val="24"/>
          <w:szCs w:val="24"/>
        </w:rPr>
        <w:footnoteReference w:id="28"/>
      </w:r>
      <w:r w:rsidR="009261EC" w:rsidRPr="009261EC">
        <w:rPr>
          <w:rFonts w:cstheme="minorHAnsi"/>
          <w:sz w:val="24"/>
          <w:szCs w:val="24"/>
        </w:rPr>
        <w:t xml:space="preserve"> stanovilo </w:t>
      </w:r>
      <w:r w:rsidR="003C6984">
        <w:rPr>
          <w:rFonts w:cstheme="minorHAnsi"/>
          <w:sz w:val="24"/>
          <w:szCs w:val="24"/>
        </w:rPr>
        <w:t xml:space="preserve">MD </w:t>
      </w:r>
      <w:r w:rsidR="009261EC" w:rsidRPr="009261EC">
        <w:rPr>
          <w:rFonts w:cstheme="minorHAnsi"/>
          <w:sz w:val="24"/>
          <w:szCs w:val="24"/>
        </w:rPr>
        <w:t xml:space="preserve">požadavek na </w:t>
      </w:r>
      <w:r w:rsidR="009261EC">
        <w:rPr>
          <w:rFonts w:cstheme="minorHAnsi"/>
          <w:sz w:val="24"/>
          <w:szCs w:val="24"/>
        </w:rPr>
        <w:t xml:space="preserve">výstavbu „cca 14“ nových </w:t>
      </w:r>
      <w:r w:rsidR="00D76DF9">
        <w:rPr>
          <w:rFonts w:cstheme="minorHAnsi"/>
          <w:sz w:val="24"/>
          <w:szCs w:val="24"/>
        </w:rPr>
        <w:t>vah pro VKV</w:t>
      </w:r>
      <w:r w:rsidR="009261EC">
        <w:rPr>
          <w:rFonts w:cstheme="minorHAnsi"/>
          <w:sz w:val="24"/>
          <w:szCs w:val="24"/>
        </w:rPr>
        <w:t xml:space="preserve"> na devíti dálnicích a jedné silnici </w:t>
      </w:r>
      <w:r w:rsidR="00D76DF9">
        <w:rPr>
          <w:rFonts w:cstheme="minorHAnsi"/>
          <w:sz w:val="24"/>
          <w:szCs w:val="24"/>
        </w:rPr>
        <w:t>I.</w:t>
      </w:r>
      <w:r w:rsidR="00E02430">
        <w:rPr>
          <w:rFonts w:cstheme="minorHAnsi"/>
          <w:sz w:val="24"/>
          <w:szCs w:val="24"/>
        </w:rPr>
        <w:t xml:space="preserve"> </w:t>
      </w:r>
      <w:r w:rsidR="009261EC">
        <w:rPr>
          <w:rFonts w:cstheme="minorHAnsi"/>
          <w:sz w:val="24"/>
          <w:szCs w:val="24"/>
        </w:rPr>
        <w:t xml:space="preserve">třídy do roku 2017. Následně tento </w:t>
      </w:r>
      <w:r w:rsidR="00E02430">
        <w:rPr>
          <w:rFonts w:cstheme="minorHAnsi"/>
          <w:sz w:val="24"/>
          <w:szCs w:val="24"/>
        </w:rPr>
        <w:t>požadavek</w:t>
      </w:r>
      <w:r w:rsidR="009261EC">
        <w:rPr>
          <w:rFonts w:cstheme="minorHAnsi"/>
          <w:sz w:val="24"/>
          <w:szCs w:val="24"/>
        </w:rPr>
        <w:t xml:space="preserve"> </w:t>
      </w:r>
      <w:r w:rsidR="00EF7CD6">
        <w:rPr>
          <w:rFonts w:cstheme="minorHAnsi"/>
          <w:sz w:val="24"/>
          <w:szCs w:val="24"/>
        </w:rPr>
        <w:t>změnilo</w:t>
      </w:r>
      <w:r w:rsidR="009261EC">
        <w:rPr>
          <w:rFonts w:cstheme="minorHAnsi"/>
          <w:sz w:val="24"/>
          <w:szCs w:val="24"/>
        </w:rPr>
        <w:t xml:space="preserve"> na 13 vah </w:t>
      </w:r>
      <w:r w:rsidR="00D76DF9">
        <w:rPr>
          <w:rFonts w:cstheme="minorHAnsi"/>
          <w:sz w:val="24"/>
          <w:szCs w:val="24"/>
        </w:rPr>
        <w:t xml:space="preserve">pro VKV </w:t>
      </w:r>
      <w:r w:rsidR="009261EC">
        <w:rPr>
          <w:rFonts w:cstheme="minorHAnsi"/>
          <w:sz w:val="24"/>
          <w:szCs w:val="24"/>
        </w:rPr>
        <w:t>do roku 2020</w:t>
      </w:r>
      <w:r w:rsidR="00B1397E">
        <w:rPr>
          <w:rFonts w:cstheme="minorHAnsi"/>
          <w:sz w:val="24"/>
          <w:szCs w:val="24"/>
        </w:rPr>
        <w:t xml:space="preserve"> (vypuštěna byla jedna váha pro VKV na silnici I. třídy)</w:t>
      </w:r>
      <w:r w:rsidR="009261EC">
        <w:rPr>
          <w:rFonts w:cstheme="minorHAnsi"/>
          <w:sz w:val="24"/>
          <w:szCs w:val="24"/>
        </w:rPr>
        <w:t xml:space="preserve">. Ve skutečnosti ale ŘSD do roku 2020 zprovoznilo jen </w:t>
      </w:r>
      <w:r w:rsidR="008B7569">
        <w:rPr>
          <w:rFonts w:cstheme="minorHAnsi"/>
          <w:sz w:val="24"/>
          <w:szCs w:val="24"/>
        </w:rPr>
        <w:t>dvě váhy</w:t>
      </w:r>
      <w:r w:rsidR="00002A85">
        <w:rPr>
          <w:rFonts w:cstheme="minorHAnsi"/>
          <w:sz w:val="24"/>
          <w:szCs w:val="24"/>
        </w:rPr>
        <w:t xml:space="preserve"> pro VKV – jednosměrnou váhu </w:t>
      </w:r>
      <w:r w:rsidR="00B31534" w:rsidRPr="00002A85">
        <w:rPr>
          <w:rFonts w:cstheme="minorHAnsi"/>
          <w:sz w:val="24"/>
          <w:szCs w:val="24"/>
        </w:rPr>
        <w:t xml:space="preserve">na dálnici D5 (ORP Nýřany) a </w:t>
      </w:r>
      <w:r w:rsidR="00002A85">
        <w:rPr>
          <w:rFonts w:cstheme="minorHAnsi"/>
          <w:sz w:val="24"/>
          <w:szCs w:val="24"/>
        </w:rPr>
        <w:t>obo</w:t>
      </w:r>
      <w:r w:rsidR="008157F7">
        <w:rPr>
          <w:rFonts w:cstheme="minorHAnsi"/>
          <w:sz w:val="24"/>
          <w:szCs w:val="24"/>
        </w:rPr>
        <w:t>u</w:t>
      </w:r>
      <w:r w:rsidR="00002A85">
        <w:rPr>
          <w:rFonts w:cstheme="minorHAnsi"/>
          <w:sz w:val="24"/>
          <w:szCs w:val="24"/>
        </w:rPr>
        <w:t xml:space="preserve">směrnou váhu </w:t>
      </w:r>
      <w:r w:rsidR="00B31534" w:rsidRPr="00002A85">
        <w:rPr>
          <w:rFonts w:cstheme="minorHAnsi"/>
          <w:sz w:val="24"/>
          <w:szCs w:val="24"/>
        </w:rPr>
        <w:t>na dálnici D35 (ORP Olomouc)</w:t>
      </w:r>
      <w:r w:rsidR="004A09F6" w:rsidRPr="00002A85">
        <w:rPr>
          <w:rFonts w:cstheme="minorHAnsi"/>
          <w:sz w:val="24"/>
          <w:szCs w:val="24"/>
        </w:rPr>
        <w:t>.</w:t>
      </w:r>
    </w:p>
    <w:p w14:paraId="73410E66" w14:textId="77777777" w:rsidR="004A09F6" w:rsidRDefault="004A09F6" w:rsidP="005A0D66">
      <w:pPr>
        <w:spacing w:after="0" w:line="252" w:lineRule="auto"/>
        <w:contextualSpacing/>
        <w:jc w:val="both"/>
        <w:rPr>
          <w:rFonts w:cstheme="minorHAnsi"/>
          <w:sz w:val="24"/>
          <w:szCs w:val="24"/>
        </w:rPr>
      </w:pPr>
    </w:p>
    <w:p w14:paraId="21D24BDA" w14:textId="1414711C" w:rsidR="004A09F6" w:rsidRDefault="004A09F6" w:rsidP="004A09F6">
      <w:pPr>
        <w:spacing w:after="0" w:line="252" w:lineRule="auto"/>
        <w:contextualSpacing/>
        <w:jc w:val="both"/>
        <w:rPr>
          <w:rFonts w:eastAsia="Calibri" w:cstheme="minorHAnsi"/>
          <w:sz w:val="24"/>
          <w:szCs w:val="24"/>
        </w:rPr>
      </w:pPr>
      <w:r>
        <w:rPr>
          <w:rFonts w:cstheme="minorHAnsi"/>
          <w:sz w:val="24"/>
          <w:szCs w:val="24"/>
        </w:rPr>
        <w:t>4.1</w:t>
      </w:r>
      <w:r w:rsidR="00216774">
        <w:rPr>
          <w:rFonts w:cstheme="minorHAnsi"/>
          <w:sz w:val="24"/>
          <w:szCs w:val="24"/>
        </w:rPr>
        <w:t>1</w:t>
      </w:r>
      <w:r>
        <w:rPr>
          <w:rFonts w:cstheme="minorHAnsi"/>
          <w:sz w:val="24"/>
          <w:szCs w:val="24"/>
        </w:rPr>
        <w:t xml:space="preserve"> </w:t>
      </w:r>
      <w:r w:rsidR="00AC119D" w:rsidRPr="00AC119D">
        <w:rPr>
          <w:rFonts w:eastAsia="Calibri" w:cstheme="minorHAnsi"/>
          <w:sz w:val="24"/>
          <w:szCs w:val="24"/>
        </w:rPr>
        <w:t xml:space="preserve">ŘSD </w:t>
      </w:r>
      <w:r w:rsidR="003C6984" w:rsidRPr="00AC119D">
        <w:rPr>
          <w:rFonts w:eastAsia="Calibri" w:cstheme="minorHAnsi"/>
          <w:sz w:val="24"/>
          <w:szCs w:val="24"/>
        </w:rPr>
        <w:t>v</w:t>
      </w:r>
      <w:r w:rsidR="00C14469">
        <w:rPr>
          <w:rFonts w:eastAsia="Calibri" w:cstheme="minorHAnsi"/>
          <w:sz w:val="24"/>
          <w:szCs w:val="24"/>
        </w:rPr>
        <w:t xml:space="preserve"> </w:t>
      </w:r>
      <w:r w:rsidR="003C6984" w:rsidRPr="00AC119D">
        <w:rPr>
          <w:rFonts w:eastAsia="Calibri" w:cstheme="minorHAnsi"/>
          <w:sz w:val="24"/>
          <w:szCs w:val="24"/>
        </w:rPr>
        <w:t>následujících</w:t>
      </w:r>
      <w:r w:rsidR="003C6984">
        <w:rPr>
          <w:rFonts w:cstheme="minorHAnsi"/>
          <w:sz w:val="24"/>
          <w:szCs w:val="24"/>
        </w:rPr>
        <w:t xml:space="preserve"> letech </w:t>
      </w:r>
      <w:r w:rsidR="00AC119D" w:rsidRPr="00AC119D">
        <w:rPr>
          <w:rFonts w:eastAsia="Calibri" w:cstheme="minorHAnsi"/>
          <w:sz w:val="24"/>
          <w:szCs w:val="24"/>
        </w:rPr>
        <w:t>pořizovalo a</w:t>
      </w:r>
      <w:r w:rsidR="003C6984">
        <w:rPr>
          <w:rFonts w:eastAsia="Calibri" w:cstheme="minorHAnsi"/>
          <w:sz w:val="24"/>
          <w:szCs w:val="24"/>
        </w:rPr>
        <w:t xml:space="preserve"> </w:t>
      </w:r>
      <w:r w:rsidR="00AC119D" w:rsidRPr="00AC119D">
        <w:rPr>
          <w:rFonts w:eastAsia="Calibri" w:cstheme="minorHAnsi"/>
          <w:sz w:val="24"/>
          <w:szCs w:val="24"/>
        </w:rPr>
        <w:t>zprovozňovalo další váhy pro VKV</w:t>
      </w:r>
      <w:r w:rsidR="003D42F5">
        <w:rPr>
          <w:rFonts w:cstheme="minorHAnsi"/>
          <w:sz w:val="24"/>
          <w:szCs w:val="24"/>
        </w:rPr>
        <w:t>,</w:t>
      </w:r>
      <w:r>
        <w:rPr>
          <w:rFonts w:cstheme="minorHAnsi"/>
          <w:sz w:val="24"/>
          <w:szCs w:val="24"/>
        </w:rPr>
        <w:t xml:space="preserve"> přestože </w:t>
      </w:r>
      <w:r w:rsidR="003D42F5">
        <w:rPr>
          <w:rFonts w:cstheme="minorHAnsi"/>
          <w:sz w:val="24"/>
          <w:szCs w:val="24"/>
        </w:rPr>
        <w:t xml:space="preserve">považovalo </w:t>
      </w:r>
      <w:r>
        <w:rPr>
          <w:rFonts w:eastAsia="Calibri" w:cstheme="minorHAnsi"/>
          <w:sz w:val="24"/>
          <w:szCs w:val="24"/>
        </w:rPr>
        <w:t>pořizování dalších vah, které nemohly být z</w:t>
      </w:r>
      <w:r w:rsidR="005319AB">
        <w:rPr>
          <w:rFonts w:eastAsia="Calibri" w:cstheme="minorHAnsi"/>
          <w:sz w:val="24"/>
          <w:szCs w:val="24"/>
        </w:rPr>
        <w:t xml:space="preserve"> </w:t>
      </w:r>
      <w:r>
        <w:rPr>
          <w:rFonts w:eastAsia="Calibri" w:cstheme="minorHAnsi"/>
          <w:sz w:val="24"/>
          <w:szCs w:val="24"/>
        </w:rPr>
        <w:t>důvod</w:t>
      </w:r>
      <w:r w:rsidR="003C6984">
        <w:rPr>
          <w:rFonts w:eastAsia="Calibri" w:cstheme="minorHAnsi"/>
          <w:sz w:val="24"/>
          <w:szCs w:val="24"/>
        </w:rPr>
        <w:t>u</w:t>
      </w:r>
      <w:r>
        <w:rPr>
          <w:rFonts w:eastAsia="Calibri" w:cstheme="minorHAnsi"/>
          <w:sz w:val="24"/>
          <w:szCs w:val="24"/>
        </w:rPr>
        <w:t xml:space="preserve"> přetrvávajících problémů využity pro kontrolní vážení</w:t>
      </w:r>
      <w:r w:rsidR="008A01ED">
        <w:rPr>
          <w:rFonts w:eastAsia="Calibri" w:cstheme="minorHAnsi"/>
          <w:sz w:val="24"/>
          <w:szCs w:val="24"/>
        </w:rPr>
        <w:t xml:space="preserve">, </w:t>
      </w:r>
      <w:r>
        <w:rPr>
          <w:rFonts w:eastAsia="Calibri" w:cstheme="minorHAnsi"/>
          <w:sz w:val="24"/>
          <w:szCs w:val="24"/>
        </w:rPr>
        <w:t>za nehospodárné (</w:t>
      </w:r>
      <w:r w:rsidRPr="000F4B0E">
        <w:rPr>
          <w:rFonts w:eastAsia="Calibri" w:cstheme="minorHAnsi"/>
          <w:sz w:val="24"/>
          <w:szCs w:val="24"/>
        </w:rPr>
        <w:t>blíže viz odst</w:t>
      </w:r>
      <w:r w:rsidR="00AB0823" w:rsidRPr="000F4B0E">
        <w:rPr>
          <w:rFonts w:eastAsia="Calibri" w:cstheme="minorHAnsi"/>
          <w:sz w:val="24"/>
          <w:szCs w:val="24"/>
        </w:rPr>
        <w:t>.</w:t>
      </w:r>
      <w:r w:rsidRPr="000F4B0E">
        <w:rPr>
          <w:rFonts w:eastAsia="Calibri" w:cstheme="minorHAnsi"/>
          <w:sz w:val="24"/>
          <w:szCs w:val="24"/>
        </w:rPr>
        <w:t xml:space="preserve"> 4.</w:t>
      </w:r>
      <w:r w:rsidR="00DE0CEE" w:rsidRPr="000F4B0E">
        <w:rPr>
          <w:rFonts w:eastAsia="Calibri" w:cstheme="minorHAnsi"/>
          <w:sz w:val="24"/>
          <w:szCs w:val="24"/>
        </w:rPr>
        <w:t>21</w:t>
      </w:r>
      <w:r w:rsidRPr="000F4B0E">
        <w:rPr>
          <w:rFonts w:eastAsia="Calibri" w:cstheme="minorHAnsi"/>
          <w:sz w:val="24"/>
          <w:szCs w:val="24"/>
        </w:rPr>
        <w:t xml:space="preserve"> a </w:t>
      </w:r>
      <w:r w:rsidRPr="00052107">
        <w:rPr>
          <w:rFonts w:eastAsia="Calibri" w:cstheme="minorHAnsi"/>
          <w:sz w:val="24"/>
          <w:szCs w:val="24"/>
        </w:rPr>
        <w:t>násl</w:t>
      </w:r>
      <w:r w:rsidR="00FB0D64" w:rsidRPr="00052107">
        <w:rPr>
          <w:rFonts w:eastAsia="Calibri" w:cstheme="minorHAnsi"/>
          <w:sz w:val="24"/>
          <w:szCs w:val="24"/>
        </w:rPr>
        <w:t>edující</w:t>
      </w:r>
      <w:r w:rsidRPr="00052107">
        <w:rPr>
          <w:rFonts w:eastAsia="Calibri" w:cstheme="minorHAnsi"/>
          <w:sz w:val="24"/>
          <w:szCs w:val="24"/>
        </w:rPr>
        <w:t>).</w:t>
      </w:r>
      <w:r w:rsidR="00F3228F" w:rsidRPr="00052107">
        <w:rPr>
          <w:rFonts w:eastAsia="Calibri" w:cstheme="minorHAnsi"/>
          <w:sz w:val="24"/>
          <w:szCs w:val="24"/>
        </w:rPr>
        <w:t xml:space="preserve"> ŘSD na tuto skutečnost upozorňovalo i MD.</w:t>
      </w:r>
    </w:p>
    <w:p w14:paraId="2EE32EB9" w14:textId="5C844958" w:rsidR="002A13F1" w:rsidRDefault="002A13F1" w:rsidP="004A09F6">
      <w:pPr>
        <w:spacing w:after="0" w:line="252" w:lineRule="auto"/>
        <w:contextualSpacing/>
        <w:jc w:val="both"/>
        <w:rPr>
          <w:rFonts w:eastAsia="Calibri" w:cstheme="minorHAnsi"/>
          <w:sz w:val="24"/>
          <w:szCs w:val="24"/>
        </w:rPr>
      </w:pPr>
    </w:p>
    <w:p w14:paraId="59FEA283" w14:textId="77777777" w:rsidR="002A13F1" w:rsidRPr="006241CD" w:rsidRDefault="002A13F1" w:rsidP="004A09F6">
      <w:pPr>
        <w:spacing w:after="0" w:line="252" w:lineRule="auto"/>
        <w:contextualSpacing/>
        <w:jc w:val="both"/>
        <w:rPr>
          <w:rFonts w:eastAsia="Calibri" w:cstheme="minorHAnsi"/>
          <w:sz w:val="24"/>
          <w:szCs w:val="24"/>
        </w:rPr>
      </w:pPr>
    </w:p>
    <w:p w14:paraId="1BB4BA25" w14:textId="77777777" w:rsidR="00B64484" w:rsidRDefault="00B64484" w:rsidP="004A09F6">
      <w:pPr>
        <w:spacing w:after="0" w:line="252" w:lineRule="auto"/>
        <w:contextualSpacing/>
        <w:rPr>
          <w:rFonts w:eastAsia="Calibri" w:cstheme="minorHAnsi"/>
          <w:sz w:val="24"/>
          <w:szCs w:val="24"/>
        </w:rPr>
      </w:pPr>
    </w:p>
    <w:p w14:paraId="7F55F002" w14:textId="34DC451D" w:rsidR="004A09F6" w:rsidRPr="00B75580" w:rsidRDefault="004A09F6" w:rsidP="003A30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52" w:lineRule="auto"/>
        <w:contextualSpacing/>
        <w:jc w:val="both"/>
        <w:rPr>
          <w:rFonts w:cstheme="minorHAnsi"/>
          <w:sz w:val="24"/>
          <w:szCs w:val="24"/>
        </w:rPr>
      </w:pPr>
      <w:r>
        <w:rPr>
          <w:rFonts w:cstheme="minorHAnsi"/>
          <w:sz w:val="24"/>
          <w:szCs w:val="24"/>
        </w:rPr>
        <w:lastRenderedPageBreak/>
        <w:t>Z</w:t>
      </w:r>
      <w:r w:rsidR="005319AB">
        <w:rPr>
          <w:rFonts w:cstheme="minorHAnsi"/>
          <w:sz w:val="24"/>
          <w:szCs w:val="24"/>
        </w:rPr>
        <w:t xml:space="preserve"> </w:t>
      </w:r>
      <w:r>
        <w:rPr>
          <w:rFonts w:cstheme="minorHAnsi"/>
          <w:sz w:val="24"/>
          <w:szCs w:val="24"/>
        </w:rPr>
        <w:t>dopisu ŘSD zaslaného v</w:t>
      </w:r>
      <w:r w:rsidR="005319AB">
        <w:rPr>
          <w:rFonts w:cstheme="minorHAnsi"/>
          <w:sz w:val="24"/>
          <w:szCs w:val="24"/>
        </w:rPr>
        <w:t xml:space="preserve"> </w:t>
      </w:r>
      <w:r>
        <w:rPr>
          <w:rFonts w:cstheme="minorHAnsi"/>
          <w:sz w:val="24"/>
          <w:szCs w:val="24"/>
        </w:rPr>
        <w:t>březnu 2021</w:t>
      </w:r>
      <w:r w:rsidRPr="002B744B">
        <w:rPr>
          <w:rFonts w:cstheme="minorHAnsi"/>
          <w:sz w:val="24"/>
          <w:szCs w:val="24"/>
        </w:rPr>
        <w:t xml:space="preserve"> </w:t>
      </w:r>
      <w:r w:rsidR="00C07248">
        <w:rPr>
          <w:rFonts w:cstheme="minorHAnsi"/>
          <w:sz w:val="24"/>
          <w:szCs w:val="24"/>
        </w:rPr>
        <w:t>Ministerstvu dopravy</w:t>
      </w:r>
      <w:r>
        <w:rPr>
          <w:rFonts w:cstheme="minorHAnsi"/>
          <w:sz w:val="24"/>
          <w:szCs w:val="24"/>
        </w:rPr>
        <w:t>: „</w:t>
      </w:r>
      <w:r w:rsidRPr="00F16EBB">
        <w:rPr>
          <w:rFonts w:cstheme="minorHAnsi"/>
          <w:i/>
          <w:sz w:val="24"/>
          <w:szCs w:val="24"/>
        </w:rPr>
        <w:t>Situaci kolem zpracování vážních lístků vnímáme jako natolik závažnou, že do uspokojivého vyřešení těchto problémů nebudeme a ani nemůžeme aktivně usilovat o další rozšiřování těchto systémů, jelikož bychom se vystavovali postihům za nehospodárné nakládání s veřejnými prostředky</w:t>
      </w:r>
      <w:r>
        <w:rPr>
          <w:rFonts w:cstheme="minorHAnsi"/>
          <w:i/>
          <w:sz w:val="24"/>
          <w:szCs w:val="24"/>
        </w:rPr>
        <w:t>.</w:t>
      </w:r>
      <w:r w:rsidRPr="004459F3">
        <w:rPr>
          <w:rFonts w:cstheme="minorHAnsi"/>
          <w:iCs/>
          <w:sz w:val="24"/>
          <w:szCs w:val="24"/>
        </w:rPr>
        <w:t>“</w:t>
      </w:r>
    </w:p>
    <w:p w14:paraId="1EE58360" w14:textId="77777777" w:rsidR="004A09F6" w:rsidRDefault="004A09F6" w:rsidP="005A0D66">
      <w:pPr>
        <w:spacing w:after="0" w:line="252" w:lineRule="auto"/>
        <w:contextualSpacing/>
        <w:jc w:val="both"/>
        <w:rPr>
          <w:rFonts w:cstheme="minorHAnsi"/>
          <w:sz w:val="24"/>
          <w:szCs w:val="24"/>
        </w:rPr>
      </w:pPr>
    </w:p>
    <w:p w14:paraId="65EDBD15" w14:textId="0CC208A2" w:rsidR="00EF7CD6" w:rsidRDefault="00D76DF9" w:rsidP="005A0D66">
      <w:pPr>
        <w:spacing w:after="0" w:line="252" w:lineRule="auto"/>
        <w:contextualSpacing/>
        <w:jc w:val="both"/>
        <w:rPr>
          <w:rFonts w:cstheme="minorHAnsi"/>
          <w:sz w:val="24"/>
          <w:szCs w:val="24"/>
        </w:rPr>
      </w:pPr>
      <w:r>
        <w:rPr>
          <w:rFonts w:cstheme="minorHAnsi"/>
          <w:sz w:val="24"/>
          <w:szCs w:val="24"/>
        </w:rPr>
        <w:t>Přehled postupu zprovozňování vah pro VKV je uveden v </w:t>
      </w:r>
      <w:r w:rsidRPr="006241CD">
        <w:rPr>
          <w:rFonts w:cstheme="minorHAnsi"/>
          <w:sz w:val="24"/>
          <w:szCs w:val="24"/>
        </w:rPr>
        <w:t>tabulce č. 1.</w:t>
      </w:r>
    </w:p>
    <w:p w14:paraId="6B90ECDB" w14:textId="77777777" w:rsidR="006E7618" w:rsidRDefault="006E7618" w:rsidP="005A0D66">
      <w:pPr>
        <w:spacing w:after="0" w:line="252" w:lineRule="auto"/>
        <w:contextualSpacing/>
        <w:jc w:val="both"/>
        <w:rPr>
          <w:rFonts w:cstheme="minorHAnsi"/>
          <w:sz w:val="24"/>
          <w:szCs w:val="24"/>
        </w:rPr>
      </w:pPr>
    </w:p>
    <w:p w14:paraId="31DB70FD" w14:textId="0AD1E661" w:rsidR="00447172" w:rsidRDefault="00447172" w:rsidP="00CD156A">
      <w:pPr>
        <w:keepNext/>
        <w:spacing w:after="0" w:line="252" w:lineRule="auto"/>
        <w:contextualSpacing/>
        <w:jc w:val="both"/>
        <w:rPr>
          <w:rFonts w:cstheme="minorHAnsi"/>
          <w:b/>
          <w:sz w:val="24"/>
          <w:szCs w:val="24"/>
        </w:rPr>
      </w:pPr>
      <w:r w:rsidRPr="00A508F5">
        <w:rPr>
          <w:rFonts w:cstheme="minorHAnsi"/>
          <w:b/>
          <w:sz w:val="24"/>
          <w:szCs w:val="24"/>
        </w:rPr>
        <w:t xml:space="preserve">Tabulka č. </w:t>
      </w:r>
      <w:r w:rsidR="00986CD3" w:rsidRPr="00A508F5">
        <w:rPr>
          <w:rFonts w:cstheme="minorHAnsi"/>
          <w:b/>
          <w:sz w:val="24"/>
          <w:szCs w:val="24"/>
        </w:rPr>
        <w:t>1</w:t>
      </w:r>
      <w:r w:rsidRPr="00A508F5">
        <w:rPr>
          <w:rFonts w:cstheme="minorHAnsi"/>
          <w:b/>
          <w:sz w:val="24"/>
          <w:szCs w:val="24"/>
        </w:rPr>
        <w:t>:</w:t>
      </w:r>
      <w:r w:rsidR="00817C97">
        <w:rPr>
          <w:rFonts w:cstheme="minorHAnsi"/>
          <w:b/>
          <w:sz w:val="24"/>
          <w:szCs w:val="24"/>
        </w:rPr>
        <w:t xml:space="preserve"> </w:t>
      </w:r>
      <w:r w:rsidRPr="00A508F5">
        <w:rPr>
          <w:rFonts w:cstheme="minorHAnsi"/>
          <w:b/>
          <w:sz w:val="24"/>
          <w:szCs w:val="24"/>
        </w:rPr>
        <w:t>Vysokorychlostní váhy na dálnicích v</w:t>
      </w:r>
      <w:r w:rsidR="00C9278C" w:rsidRPr="00A508F5">
        <w:rPr>
          <w:rFonts w:cstheme="minorHAnsi"/>
          <w:b/>
          <w:sz w:val="24"/>
          <w:szCs w:val="24"/>
        </w:rPr>
        <w:t> </w:t>
      </w:r>
      <w:r w:rsidRPr="00A508F5">
        <w:rPr>
          <w:rFonts w:cstheme="minorHAnsi"/>
          <w:b/>
          <w:sz w:val="24"/>
          <w:szCs w:val="24"/>
        </w:rPr>
        <w:t>ČR</w:t>
      </w:r>
      <w:r w:rsidR="00C9278C" w:rsidRPr="00A508F5">
        <w:rPr>
          <w:rFonts w:cstheme="minorHAnsi"/>
          <w:b/>
          <w:sz w:val="24"/>
          <w:szCs w:val="24"/>
        </w:rPr>
        <w:t xml:space="preserve"> (stav k </w:t>
      </w:r>
      <w:r w:rsidR="00A508F5">
        <w:rPr>
          <w:rFonts w:cstheme="minorHAnsi"/>
          <w:b/>
          <w:sz w:val="24"/>
          <w:szCs w:val="24"/>
        </w:rPr>
        <w:t>3</w:t>
      </w:r>
      <w:r w:rsidR="00C9278C" w:rsidRPr="00A508F5">
        <w:rPr>
          <w:rFonts w:cstheme="minorHAnsi"/>
          <w:b/>
          <w:sz w:val="24"/>
          <w:szCs w:val="24"/>
        </w:rPr>
        <w:t>1. 1</w:t>
      </w:r>
      <w:r w:rsidR="00A508F5">
        <w:rPr>
          <w:rFonts w:cstheme="minorHAnsi"/>
          <w:b/>
          <w:sz w:val="24"/>
          <w:szCs w:val="24"/>
        </w:rPr>
        <w:t>2</w:t>
      </w:r>
      <w:r w:rsidR="00C9278C" w:rsidRPr="00A508F5">
        <w:rPr>
          <w:rFonts w:cstheme="minorHAnsi"/>
          <w:b/>
          <w:sz w:val="24"/>
          <w:szCs w:val="24"/>
        </w:rPr>
        <w:t>. 202</w:t>
      </w:r>
      <w:r w:rsidR="00A508F5">
        <w:rPr>
          <w:rFonts w:cstheme="minorHAnsi"/>
          <w:b/>
          <w:sz w:val="24"/>
          <w:szCs w:val="24"/>
        </w:rPr>
        <w:t>4</w:t>
      </w:r>
      <w:r w:rsidR="00C9278C" w:rsidRPr="00A508F5">
        <w:rPr>
          <w:rFonts w:cstheme="minorHAnsi"/>
          <w:b/>
          <w:sz w:val="24"/>
          <w:szCs w:val="24"/>
        </w:rPr>
        <w:t>)</w:t>
      </w:r>
      <w:r w:rsidR="002025E9" w:rsidRPr="002025E9">
        <w:rPr>
          <w:rFonts w:ascii="Calibri" w:hAnsi="Calibri" w:cs="Calibri"/>
          <w:color w:val="000000"/>
          <w:sz w:val="24"/>
          <w:szCs w:val="24"/>
        </w:rPr>
        <w:t xml:space="preserve"> </w:t>
      </w:r>
    </w:p>
    <w:p w14:paraId="4A8A753F" w14:textId="77777777" w:rsidR="00CD156A" w:rsidRPr="00CD156A" w:rsidRDefault="00CD156A" w:rsidP="00CD156A">
      <w:pPr>
        <w:keepNext/>
        <w:spacing w:after="0"/>
        <w:contextualSpacing/>
        <w:jc w:val="both"/>
        <w:rPr>
          <w:rFonts w:cstheme="minorHAnsi"/>
          <w:b/>
          <w:sz w:val="6"/>
          <w:szCs w:val="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268"/>
        <w:gridCol w:w="2268"/>
        <w:gridCol w:w="2268"/>
      </w:tblGrid>
      <w:tr w:rsidR="00294342" w:rsidRPr="00447172" w14:paraId="210757E3" w14:textId="77777777" w:rsidTr="004459F3">
        <w:trPr>
          <w:trHeight w:val="454"/>
        </w:trPr>
        <w:tc>
          <w:tcPr>
            <w:tcW w:w="2268" w:type="dxa"/>
            <w:tcBorders>
              <w:top w:val="single" w:sz="8" w:space="0" w:color="auto"/>
              <w:left w:val="single" w:sz="8" w:space="0" w:color="auto"/>
              <w:bottom w:val="single" w:sz="8" w:space="0" w:color="auto"/>
            </w:tcBorders>
            <w:shd w:val="clear" w:color="auto" w:fill="E6E6E6"/>
            <w:vAlign w:val="center"/>
          </w:tcPr>
          <w:p w14:paraId="3CC0DBD6" w14:textId="77777777" w:rsidR="00294342" w:rsidRPr="004459F3" w:rsidRDefault="00294342" w:rsidP="00294342">
            <w:pPr>
              <w:spacing w:after="0" w:line="252" w:lineRule="auto"/>
              <w:jc w:val="center"/>
              <w:rPr>
                <w:rFonts w:cstheme="minorHAnsi"/>
                <w:b/>
                <w:bCs/>
                <w:color w:val="000000"/>
                <w:sz w:val="20"/>
                <w:szCs w:val="20"/>
              </w:rPr>
            </w:pPr>
            <w:r w:rsidRPr="004459F3">
              <w:rPr>
                <w:rFonts w:cstheme="minorHAnsi"/>
                <w:b/>
                <w:bCs/>
                <w:color w:val="000000"/>
                <w:sz w:val="20"/>
                <w:szCs w:val="20"/>
              </w:rPr>
              <w:t>Zahájení VKV</w:t>
            </w:r>
          </w:p>
        </w:tc>
        <w:tc>
          <w:tcPr>
            <w:tcW w:w="2268" w:type="dxa"/>
            <w:tcBorders>
              <w:top w:val="single" w:sz="8" w:space="0" w:color="auto"/>
              <w:bottom w:val="single" w:sz="8" w:space="0" w:color="auto"/>
            </w:tcBorders>
            <w:shd w:val="clear" w:color="auto" w:fill="E6E6E6"/>
            <w:noWrap/>
            <w:vAlign w:val="center"/>
            <w:hideMark/>
          </w:tcPr>
          <w:p w14:paraId="4DBE7470" w14:textId="77777777" w:rsidR="00294342" w:rsidRPr="004459F3" w:rsidRDefault="00294342" w:rsidP="00294342">
            <w:pPr>
              <w:spacing w:after="0" w:line="252" w:lineRule="auto"/>
              <w:jc w:val="center"/>
              <w:rPr>
                <w:rFonts w:cstheme="minorHAnsi"/>
                <w:b/>
                <w:bCs/>
                <w:color w:val="000000"/>
                <w:sz w:val="20"/>
                <w:szCs w:val="20"/>
                <w:lang w:eastAsia="cs-CZ"/>
              </w:rPr>
            </w:pPr>
            <w:r w:rsidRPr="004459F3">
              <w:rPr>
                <w:rFonts w:cstheme="minorHAnsi"/>
                <w:b/>
                <w:bCs/>
                <w:color w:val="000000"/>
                <w:sz w:val="20"/>
                <w:szCs w:val="20"/>
              </w:rPr>
              <w:t>Dálnice</w:t>
            </w:r>
          </w:p>
        </w:tc>
        <w:tc>
          <w:tcPr>
            <w:tcW w:w="2268" w:type="dxa"/>
            <w:tcBorders>
              <w:top w:val="single" w:sz="8" w:space="0" w:color="auto"/>
              <w:bottom w:val="single" w:sz="8" w:space="0" w:color="auto"/>
            </w:tcBorders>
            <w:shd w:val="clear" w:color="auto" w:fill="E6E6E6"/>
            <w:noWrap/>
            <w:vAlign w:val="center"/>
            <w:hideMark/>
          </w:tcPr>
          <w:p w14:paraId="1E85C268" w14:textId="77777777" w:rsidR="00294342" w:rsidRPr="004459F3" w:rsidRDefault="00294342" w:rsidP="00294342">
            <w:pPr>
              <w:spacing w:after="0" w:line="252" w:lineRule="auto"/>
              <w:jc w:val="center"/>
              <w:rPr>
                <w:rFonts w:cstheme="minorHAnsi"/>
                <w:b/>
                <w:bCs/>
                <w:color w:val="000000"/>
                <w:sz w:val="20"/>
                <w:szCs w:val="20"/>
              </w:rPr>
            </w:pPr>
            <w:r w:rsidRPr="004459F3">
              <w:rPr>
                <w:rFonts w:cstheme="minorHAnsi"/>
                <w:b/>
                <w:bCs/>
                <w:color w:val="000000"/>
                <w:sz w:val="20"/>
                <w:szCs w:val="20"/>
              </w:rPr>
              <w:t>Km</w:t>
            </w:r>
          </w:p>
        </w:tc>
        <w:tc>
          <w:tcPr>
            <w:tcW w:w="2268" w:type="dxa"/>
            <w:tcBorders>
              <w:top w:val="single" w:sz="8" w:space="0" w:color="auto"/>
              <w:bottom w:val="single" w:sz="8" w:space="0" w:color="auto"/>
              <w:right w:val="single" w:sz="8" w:space="0" w:color="auto"/>
            </w:tcBorders>
            <w:shd w:val="clear" w:color="auto" w:fill="E6E6E6"/>
            <w:vAlign w:val="center"/>
          </w:tcPr>
          <w:p w14:paraId="0C7FE1D5" w14:textId="77777777" w:rsidR="00294342" w:rsidRPr="004459F3" w:rsidRDefault="00294342" w:rsidP="00294342">
            <w:pPr>
              <w:spacing w:after="0" w:line="252" w:lineRule="auto"/>
              <w:jc w:val="center"/>
              <w:rPr>
                <w:rFonts w:cstheme="minorHAnsi"/>
                <w:b/>
                <w:bCs/>
                <w:color w:val="000000"/>
                <w:sz w:val="20"/>
                <w:szCs w:val="20"/>
              </w:rPr>
            </w:pPr>
            <w:r w:rsidRPr="004459F3">
              <w:rPr>
                <w:rFonts w:cstheme="minorHAnsi"/>
                <w:b/>
                <w:bCs/>
                <w:color w:val="000000"/>
                <w:sz w:val="20"/>
                <w:szCs w:val="20"/>
              </w:rPr>
              <w:t>ORP</w:t>
            </w:r>
          </w:p>
        </w:tc>
      </w:tr>
      <w:tr w:rsidR="00294342" w:rsidRPr="00447172" w14:paraId="654EF8B5" w14:textId="77777777" w:rsidTr="004459F3">
        <w:trPr>
          <w:trHeight w:val="397"/>
        </w:trPr>
        <w:tc>
          <w:tcPr>
            <w:tcW w:w="2268" w:type="dxa"/>
            <w:tcBorders>
              <w:top w:val="single" w:sz="8" w:space="0" w:color="auto"/>
              <w:left w:val="single" w:sz="8" w:space="0" w:color="auto"/>
            </w:tcBorders>
            <w:vAlign w:val="center"/>
          </w:tcPr>
          <w:p w14:paraId="31C35916"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01/2020</w:t>
            </w:r>
          </w:p>
        </w:tc>
        <w:tc>
          <w:tcPr>
            <w:tcW w:w="2268" w:type="dxa"/>
            <w:tcBorders>
              <w:top w:val="single" w:sz="8" w:space="0" w:color="auto"/>
            </w:tcBorders>
            <w:shd w:val="clear" w:color="auto" w:fill="auto"/>
            <w:noWrap/>
            <w:vAlign w:val="center"/>
            <w:hideMark/>
          </w:tcPr>
          <w:p w14:paraId="2E3D6E9F"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D5</w:t>
            </w:r>
          </w:p>
        </w:tc>
        <w:tc>
          <w:tcPr>
            <w:tcW w:w="2268" w:type="dxa"/>
            <w:tcBorders>
              <w:top w:val="single" w:sz="8" w:space="0" w:color="auto"/>
            </w:tcBorders>
            <w:shd w:val="clear" w:color="auto" w:fill="auto"/>
            <w:noWrap/>
            <w:vAlign w:val="center"/>
            <w:hideMark/>
          </w:tcPr>
          <w:p w14:paraId="05C98422"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105,2</w:t>
            </w:r>
          </w:p>
        </w:tc>
        <w:tc>
          <w:tcPr>
            <w:tcW w:w="2268" w:type="dxa"/>
            <w:tcBorders>
              <w:top w:val="single" w:sz="8" w:space="0" w:color="auto"/>
              <w:right w:val="single" w:sz="8" w:space="0" w:color="auto"/>
            </w:tcBorders>
            <w:vAlign w:val="center"/>
          </w:tcPr>
          <w:p w14:paraId="1EDED2F0" w14:textId="317FBB35"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Nýřany*</w:t>
            </w:r>
          </w:p>
        </w:tc>
      </w:tr>
      <w:tr w:rsidR="00294342" w:rsidRPr="00447172" w14:paraId="5E3F6B55" w14:textId="77777777" w:rsidTr="004459F3">
        <w:trPr>
          <w:trHeight w:val="397"/>
        </w:trPr>
        <w:tc>
          <w:tcPr>
            <w:tcW w:w="2268" w:type="dxa"/>
            <w:tcBorders>
              <w:left w:val="single" w:sz="8" w:space="0" w:color="auto"/>
            </w:tcBorders>
            <w:vAlign w:val="center"/>
          </w:tcPr>
          <w:p w14:paraId="21A82873"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03/2020</w:t>
            </w:r>
          </w:p>
        </w:tc>
        <w:tc>
          <w:tcPr>
            <w:tcW w:w="2268" w:type="dxa"/>
            <w:shd w:val="clear" w:color="auto" w:fill="auto"/>
            <w:noWrap/>
            <w:vAlign w:val="center"/>
            <w:hideMark/>
          </w:tcPr>
          <w:p w14:paraId="4B247E72"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D35</w:t>
            </w:r>
          </w:p>
        </w:tc>
        <w:tc>
          <w:tcPr>
            <w:tcW w:w="2268" w:type="dxa"/>
            <w:shd w:val="clear" w:color="auto" w:fill="auto"/>
            <w:noWrap/>
            <w:vAlign w:val="center"/>
            <w:hideMark/>
          </w:tcPr>
          <w:p w14:paraId="5213BDDE"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268,0</w:t>
            </w:r>
          </w:p>
        </w:tc>
        <w:tc>
          <w:tcPr>
            <w:tcW w:w="2268" w:type="dxa"/>
            <w:tcBorders>
              <w:right w:val="single" w:sz="8" w:space="0" w:color="auto"/>
            </w:tcBorders>
            <w:vAlign w:val="center"/>
          </w:tcPr>
          <w:p w14:paraId="5A67E169"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Olomouc</w:t>
            </w:r>
          </w:p>
        </w:tc>
      </w:tr>
      <w:tr w:rsidR="00294342" w:rsidRPr="00447172" w14:paraId="6C0AA8C3" w14:textId="77777777" w:rsidTr="004459F3">
        <w:trPr>
          <w:trHeight w:val="397"/>
        </w:trPr>
        <w:tc>
          <w:tcPr>
            <w:tcW w:w="2268" w:type="dxa"/>
            <w:tcBorders>
              <w:left w:val="single" w:sz="8" w:space="0" w:color="auto"/>
            </w:tcBorders>
            <w:vAlign w:val="center"/>
          </w:tcPr>
          <w:p w14:paraId="42059530"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11/2021</w:t>
            </w:r>
          </w:p>
        </w:tc>
        <w:tc>
          <w:tcPr>
            <w:tcW w:w="2268" w:type="dxa"/>
            <w:shd w:val="clear" w:color="auto" w:fill="auto"/>
            <w:noWrap/>
            <w:vAlign w:val="center"/>
            <w:hideMark/>
          </w:tcPr>
          <w:p w14:paraId="6B392F32"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D2</w:t>
            </w:r>
          </w:p>
        </w:tc>
        <w:tc>
          <w:tcPr>
            <w:tcW w:w="2268" w:type="dxa"/>
            <w:shd w:val="clear" w:color="auto" w:fill="auto"/>
            <w:noWrap/>
            <w:vAlign w:val="center"/>
            <w:hideMark/>
          </w:tcPr>
          <w:p w14:paraId="0BD48C6D"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8,3</w:t>
            </w:r>
          </w:p>
        </w:tc>
        <w:tc>
          <w:tcPr>
            <w:tcW w:w="2268" w:type="dxa"/>
            <w:tcBorders>
              <w:right w:val="single" w:sz="8" w:space="0" w:color="auto"/>
            </w:tcBorders>
            <w:vAlign w:val="center"/>
          </w:tcPr>
          <w:p w14:paraId="741BDD6E"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Židlochovice</w:t>
            </w:r>
          </w:p>
        </w:tc>
      </w:tr>
      <w:tr w:rsidR="00294342" w:rsidRPr="00447172" w14:paraId="3AD90197" w14:textId="77777777" w:rsidTr="004459F3">
        <w:trPr>
          <w:trHeight w:val="397"/>
        </w:trPr>
        <w:tc>
          <w:tcPr>
            <w:tcW w:w="2268" w:type="dxa"/>
            <w:tcBorders>
              <w:left w:val="single" w:sz="8" w:space="0" w:color="auto"/>
            </w:tcBorders>
            <w:vAlign w:val="center"/>
          </w:tcPr>
          <w:p w14:paraId="6FF93EF1"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02/2022</w:t>
            </w:r>
          </w:p>
        </w:tc>
        <w:tc>
          <w:tcPr>
            <w:tcW w:w="2268" w:type="dxa"/>
            <w:shd w:val="clear" w:color="auto" w:fill="auto"/>
            <w:noWrap/>
            <w:vAlign w:val="center"/>
            <w:hideMark/>
          </w:tcPr>
          <w:p w14:paraId="47F0985D"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D8</w:t>
            </w:r>
          </w:p>
        </w:tc>
        <w:tc>
          <w:tcPr>
            <w:tcW w:w="2268" w:type="dxa"/>
            <w:shd w:val="clear" w:color="auto" w:fill="auto"/>
            <w:noWrap/>
            <w:vAlign w:val="center"/>
            <w:hideMark/>
          </w:tcPr>
          <w:p w14:paraId="74120884"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46,9</w:t>
            </w:r>
          </w:p>
        </w:tc>
        <w:tc>
          <w:tcPr>
            <w:tcW w:w="2268" w:type="dxa"/>
            <w:tcBorders>
              <w:right w:val="single" w:sz="8" w:space="0" w:color="auto"/>
            </w:tcBorders>
            <w:vAlign w:val="center"/>
          </w:tcPr>
          <w:p w14:paraId="72DD9CE5"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Lovosice</w:t>
            </w:r>
          </w:p>
        </w:tc>
      </w:tr>
      <w:tr w:rsidR="00294342" w:rsidRPr="00447172" w14:paraId="6EFA31A3" w14:textId="77777777" w:rsidTr="004459F3">
        <w:trPr>
          <w:trHeight w:val="397"/>
        </w:trPr>
        <w:tc>
          <w:tcPr>
            <w:tcW w:w="2268" w:type="dxa"/>
            <w:tcBorders>
              <w:left w:val="single" w:sz="8" w:space="0" w:color="auto"/>
            </w:tcBorders>
            <w:vAlign w:val="center"/>
          </w:tcPr>
          <w:p w14:paraId="321ED632"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03/2022</w:t>
            </w:r>
          </w:p>
        </w:tc>
        <w:tc>
          <w:tcPr>
            <w:tcW w:w="2268" w:type="dxa"/>
            <w:shd w:val="clear" w:color="auto" w:fill="auto"/>
            <w:noWrap/>
            <w:vAlign w:val="center"/>
            <w:hideMark/>
          </w:tcPr>
          <w:p w14:paraId="640C1BEC"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D1</w:t>
            </w:r>
          </w:p>
        </w:tc>
        <w:tc>
          <w:tcPr>
            <w:tcW w:w="2268" w:type="dxa"/>
            <w:shd w:val="clear" w:color="auto" w:fill="auto"/>
            <w:noWrap/>
            <w:vAlign w:val="center"/>
            <w:hideMark/>
          </w:tcPr>
          <w:p w14:paraId="3F980BD2"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122,9</w:t>
            </w:r>
          </w:p>
        </w:tc>
        <w:tc>
          <w:tcPr>
            <w:tcW w:w="2268" w:type="dxa"/>
            <w:tcBorders>
              <w:right w:val="single" w:sz="8" w:space="0" w:color="auto"/>
            </w:tcBorders>
            <w:vAlign w:val="center"/>
          </w:tcPr>
          <w:p w14:paraId="470A3E05"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Jihlava</w:t>
            </w:r>
          </w:p>
        </w:tc>
      </w:tr>
      <w:tr w:rsidR="00294342" w:rsidRPr="00447172" w14:paraId="5CD1FD90" w14:textId="77777777" w:rsidTr="004459F3">
        <w:trPr>
          <w:trHeight w:val="397"/>
        </w:trPr>
        <w:tc>
          <w:tcPr>
            <w:tcW w:w="2268" w:type="dxa"/>
            <w:tcBorders>
              <w:left w:val="single" w:sz="8" w:space="0" w:color="auto"/>
            </w:tcBorders>
            <w:vAlign w:val="center"/>
          </w:tcPr>
          <w:p w14:paraId="0F4F22AB"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09/2023</w:t>
            </w:r>
          </w:p>
        </w:tc>
        <w:tc>
          <w:tcPr>
            <w:tcW w:w="2268" w:type="dxa"/>
            <w:shd w:val="clear" w:color="auto" w:fill="auto"/>
            <w:noWrap/>
            <w:vAlign w:val="center"/>
            <w:hideMark/>
          </w:tcPr>
          <w:p w14:paraId="69F1B5B0"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D48</w:t>
            </w:r>
          </w:p>
        </w:tc>
        <w:tc>
          <w:tcPr>
            <w:tcW w:w="2268" w:type="dxa"/>
            <w:shd w:val="clear" w:color="auto" w:fill="auto"/>
            <w:noWrap/>
            <w:vAlign w:val="center"/>
            <w:hideMark/>
          </w:tcPr>
          <w:p w14:paraId="78D40A49"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46,9</w:t>
            </w:r>
          </w:p>
        </w:tc>
        <w:tc>
          <w:tcPr>
            <w:tcW w:w="2268" w:type="dxa"/>
            <w:tcBorders>
              <w:right w:val="single" w:sz="8" w:space="0" w:color="auto"/>
            </w:tcBorders>
            <w:vAlign w:val="center"/>
          </w:tcPr>
          <w:p w14:paraId="799B7B31"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Frýdek-Místek</w:t>
            </w:r>
          </w:p>
        </w:tc>
      </w:tr>
      <w:tr w:rsidR="00294342" w:rsidRPr="00447172" w14:paraId="70EB1616" w14:textId="77777777" w:rsidTr="004459F3">
        <w:trPr>
          <w:trHeight w:val="397"/>
        </w:trPr>
        <w:tc>
          <w:tcPr>
            <w:tcW w:w="2268" w:type="dxa"/>
            <w:tcBorders>
              <w:left w:val="single" w:sz="8" w:space="0" w:color="auto"/>
              <w:bottom w:val="single" w:sz="8" w:space="0" w:color="auto"/>
            </w:tcBorders>
            <w:vAlign w:val="center"/>
          </w:tcPr>
          <w:p w14:paraId="7EF95367"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04/2024</w:t>
            </w:r>
          </w:p>
        </w:tc>
        <w:tc>
          <w:tcPr>
            <w:tcW w:w="2268" w:type="dxa"/>
            <w:tcBorders>
              <w:bottom w:val="single" w:sz="8" w:space="0" w:color="auto"/>
            </w:tcBorders>
            <w:shd w:val="clear" w:color="auto" w:fill="auto"/>
            <w:noWrap/>
            <w:vAlign w:val="center"/>
            <w:hideMark/>
          </w:tcPr>
          <w:p w14:paraId="3E018B4E"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D4</w:t>
            </w:r>
          </w:p>
        </w:tc>
        <w:tc>
          <w:tcPr>
            <w:tcW w:w="2268" w:type="dxa"/>
            <w:tcBorders>
              <w:bottom w:val="single" w:sz="8" w:space="0" w:color="auto"/>
            </w:tcBorders>
            <w:shd w:val="clear" w:color="auto" w:fill="auto"/>
            <w:noWrap/>
            <w:vAlign w:val="center"/>
            <w:hideMark/>
          </w:tcPr>
          <w:p w14:paraId="5C4A16F6"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9,5</w:t>
            </w:r>
          </w:p>
        </w:tc>
        <w:tc>
          <w:tcPr>
            <w:tcW w:w="2268" w:type="dxa"/>
            <w:tcBorders>
              <w:bottom w:val="single" w:sz="8" w:space="0" w:color="auto"/>
              <w:right w:val="single" w:sz="8" w:space="0" w:color="auto"/>
            </w:tcBorders>
            <w:vAlign w:val="center"/>
          </w:tcPr>
          <w:p w14:paraId="215FBD3A"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Černošice</w:t>
            </w:r>
          </w:p>
        </w:tc>
      </w:tr>
      <w:tr w:rsidR="00294342" w:rsidRPr="00447172" w14:paraId="03A1DAB2" w14:textId="77777777" w:rsidTr="004459F3">
        <w:trPr>
          <w:trHeight w:val="397"/>
        </w:trPr>
        <w:tc>
          <w:tcPr>
            <w:tcW w:w="2268" w:type="dxa"/>
            <w:tcBorders>
              <w:top w:val="single" w:sz="8" w:space="0" w:color="auto"/>
              <w:left w:val="single" w:sz="8" w:space="0" w:color="auto"/>
            </w:tcBorders>
            <w:vAlign w:val="center"/>
          </w:tcPr>
          <w:p w14:paraId="05BB36CB" w14:textId="0C3D9AED"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Z</w:t>
            </w:r>
            <w:r w:rsidR="00294342" w:rsidRPr="004459F3">
              <w:rPr>
                <w:rFonts w:cstheme="minorHAnsi"/>
                <w:color w:val="000000"/>
                <w:sz w:val="20"/>
                <w:szCs w:val="20"/>
              </w:rPr>
              <w:t>provozňováno</w:t>
            </w:r>
          </w:p>
        </w:tc>
        <w:tc>
          <w:tcPr>
            <w:tcW w:w="2268" w:type="dxa"/>
            <w:tcBorders>
              <w:top w:val="single" w:sz="8" w:space="0" w:color="auto"/>
            </w:tcBorders>
            <w:shd w:val="clear" w:color="auto" w:fill="auto"/>
            <w:noWrap/>
            <w:vAlign w:val="center"/>
          </w:tcPr>
          <w:p w14:paraId="7A31B354"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D4</w:t>
            </w:r>
          </w:p>
        </w:tc>
        <w:tc>
          <w:tcPr>
            <w:tcW w:w="2268" w:type="dxa"/>
            <w:tcBorders>
              <w:top w:val="single" w:sz="8" w:space="0" w:color="auto"/>
            </w:tcBorders>
            <w:shd w:val="clear" w:color="auto" w:fill="auto"/>
            <w:noWrap/>
            <w:vAlign w:val="center"/>
          </w:tcPr>
          <w:p w14:paraId="5FB99673"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59,9</w:t>
            </w:r>
          </w:p>
        </w:tc>
        <w:tc>
          <w:tcPr>
            <w:tcW w:w="2268" w:type="dxa"/>
            <w:tcBorders>
              <w:top w:val="single" w:sz="8" w:space="0" w:color="auto"/>
              <w:right w:val="single" w:sz="8" w:space="0" w:color="auto"/>
            </w:tcBorders>
            <w:vAlign w:val="center"/>
          </w:tcPr>
          <w:p w14:paraId="6DCD9A35" w14:textId="326D3231"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Příbram*</w:t>
            </w:r>
          </w:p>
        </w:tc>
      </w:tr>
      <w:tr w:rsidR="00294342" w:rsidRPr="00447172" w14:paraId="3EDD62CA" w14:textId="77777777" w:rsidTr="004459F3">
        <w:trPr>
          <w:trHeight w:val="397"/>
        </w:trPr>
        <w:tc>
          <w:tcPr>
            <w:tcW w:w="2268" w:type="dxa"/>
            <w:tcBorders>
              <w:left w:val="single" w:sz="8" w:space="0" w:color="auto"/>
              <w:bottom w:val="single" w:sz="8" w:space="0" w:color="auto"/>
            </w:tcBorders>
            <w:vAlign w:val="center"/>
          </w:tcPr>
          <w:p w14:paraId="734F8074" w14:textId="222B4F34"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Z</w:t>
            </w:r>
            <w:r w:rsidR="00294342" w:rsidRPr="004459F3">
              <w:rPr>
                <w:rFonts w:cstheme="minorHAnsi"/>
                <w:color w:val="000000"/>
                <w:sz w:val="20"/>
                <w:szCs w:val="20"/>
              </w:rPr>
              <w:t>provozňováno</w:t>
            </w:r>
          </w:p>
        </w:tc>
        <w:tc>
          <w:tcPr>
            <w:tcW w:w="2268" w:type="dxa"/>
            <w:tcBorders>
              <w:bottom w:val="single" w:sz="8" w:space="0" w:color="auto"/>
            </w:tcBorders>
            <w:shd w:val="clear" w:color="auto" w:fill="auto"/>
            <w:noWrap/>
            <w:vAlign w:val="center"/>
          </w:tcPr>
          <w:p w14:paraId="4BFFDF45"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D4</w:t>
            </w:r>
          </w:p>
        </w:tc>
        <w:tc>
          <w:tcPr>
            <w:tcW w:w="2268" w:type="dxa"/>
            <w:tcBorders>
              <w:bottom w:val="single" w:sz="8" w:space="0" w:color="auto"/>
            </w:tcBorders>
            <w:shd w:val="clear" w:color="auto" w:fill="auto"/>
            <w:noWrap/>
            <w:vAlign w:val="center"/>
          </w:tcPr>
          <w:p w14:paraId="32254118"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69,4</w:t>
            </w:r>
          </w:p>
        </w:tc>
        <w:tc>
          <w:tcPr>
            <w:tcW w:w="2268" w:type="dxa"/>
            <w:tcBorders>
              <w:bottom w:val="single" w:sz="8" w:space="0" w:color="auto"/>
              <w:right w:val="single" w:sz="8" w:space="0" w:color="auto"/>
            </w:tcBorders>
            <w:vAlign w:val="center"/>
          </w:tcPr>
          <w:p w14:paraId="5A3F0631" w14:textId="728A49B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Písek*</w:t>
            </w:r>
          </w:p>
        </w:tc>
      </w:tr>
      <w:tr w:rsidR="00294342" w:rsidRPr="00447172" w14:paraId="28C8E9E8" w14:textId="77777777" w:rsidTr="004459F3">
        <w:trPr>
          <w:trHeight w:val="397"/>
        </w:trPr>
        <w:tc>
          <w:tcPr>
            <w:tcW w:w="2268" w:type="dxa"/>
            <w:tcBorders>
              <w:top w:val="single" w:sz="8" w:space="0" w:color="auto"/>
              <w:left w:val="single" w:sz="8" w:space="0" w:color="auto"/>
            </w:tcBorders>
            <w:vAlign w:val="center"/>
          </w:tcPr>
          <w:p w14:paraId="4E23A2D1" w14:textId="3E3AEACA"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tcBorders>
              <w:top w:val="single" w:sz="8" w:space="0" w:color="auto"/>
            </w:tcBorders>
            <w:shd w:val="clear" w:color="auto" w:fill="auto"/>
            <w:noWrap/>
            <w:vAlign w:val="center"/>
          </w:tcPr>
          <w:p w14:paraId="482A180C"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D00</w:t>
            </w:r>
          </w:p>
        </w:tc>
        <w:tc>
          <w:tcPr>
            <w:tcW w:w="2268" w:type="dxa"/>
            <w:tcBorders>
              <w:top w:val="single" w:sz="8" w:space="0" w:color="auto"/>
            </w:tcBorders>
            <w:shd w:val="clear" w:color="auto" w:fill="auto"/>
            <w:noWrap/>
            <w:vAlign w:val="center"/>
          </w:tcPr>
          <w:p w14:paraId="11E96253"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79,1</w:t>
            </w:r>
          </w:p>
        </w:tc>
        <w:tc>
          <w:tcPr>
            <w:tcW w:w="2268" w:type="dxa"/>
            <w:tcBorders>
              <w:top w:val="single" w:sz="8" w:space="0" w:color="auto"/>
              <w:right w:val="single" w:sz="8" w:space="0" w:color="auto"/>
            </w:tcBorders>
            <w:vAlign w:val="center"/>
          </w:tcPr>
          <w:p w14:paraId="416DB516"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Černošice</w:t>
            </w:r>
          </w:p>
        </w:tc>
      </w:tr>
      <w:tr w:rsidR="00294342" w:rsidRPr="00447172" w14:paraId="3B04CB5C" w14:textId="77777777" w:rsidTr="004459F3">
        <w:trPr>
          <w:trHeight w:val="397"/>
        </w:trPr>
        <w:tc>
          <w:tcPr>
            <w:tcW w:w="2268" w:type="dxa"/>
            <w:tcBorders>
              <w:left w:val="single" w:sz="8" w:space="0" w:color="auto"/>
            </w:tcBorders>
            <w:vAlign w:val="center"/>
          </w:tcPr>
          <w:p w14:paraId="3EC225C0" w14:textId="754E2437"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shd w:val="clear" w:color="auto" w:fill="auto"/>
            <w:noWrap/>
            <w:vAlign w:val="center"/>
          </w:tcPr>
          <w:p w14:paraId="392F00A1"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D3</w:t>
            </w:r>
          </w:p>
        </w:tc>
        <w:tc>
          <w:tcPr>
            <w:tcW w:w="2268" w:type="dxa"/>
            <w:shd w:val="clear" w:color="auto" w:fill="auto"/>
            <w:noWrap/>
            <w:vAlign w:val="center"/>
          </w:tcPr>
          <w:p w14:paraId="5B37FE13"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91,9</w:t>
            </w:r>
          </w:p>
        </w:tc>
        <w:tc>
          <w:tcPr>
            <w:tcW w:w="2268" w:type="dxa"/>
            <w:tcBorders>
              <w:right w:val="single" w:sz="8" w:space="0" w:color="auto"/>
            </w:tcBorders>
            <w:vAlign w:val="center"/>
          </w:tcPr>
          <w:p w14:paraId="0E1AF3B9"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Soběslav</w:t>
            </w:r>
          </w:p>
        </w:tc>
      </w:tr>
      <w:tr w:rsidR="00294342" w:rsidRPr="00447172" w14:paraId="62D76873" w14:textId="77777777" w:rsidTr="004459F3">
        <w:trPr>
          <w:trHeight w:val="397"/>
        </w:trPr>
        <w:tc>
          <w:tcPr>
            <w:tcW w:w="2268" w:type="dxa"/>
            <w:tcBorders>
              <w:left w:val="single" w:sz="8" w:space="0" w:color="auto"/>
            </w:tcBorders>
            <w:vAlign w:val="center"/>
          </w:tcPr>
          <w:p w14:paraId="41FA6961" w14:textId="51D05435"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shd w:val="clear" w:color="auto" w:fill="auto"/>
            <w:noWrap/>
            <w:vAlign w:val="center"/>
          </w:tcPr>
          <w:p w14:paraId="3EA989BA"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D5</w:t>
            </w:r>
          </w:p>
        </w:tc>
        <w:tc>
          <w:tcPr>
            <w:tcW w:w="2268" w:type="dxa"/>
            <w:shd w:val="clear" w:color="auto" w:fill="auto"/>
            <w:noWrap/>
            <w:vAlign w:val="center"/>
          </w:tcPr>
          <w:p w14:paraId="09157619"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23,3</w:t>
            </w:r>
          </w:p>
        </w:tc>
        <w:tc>
          <w:tcPr>
            <w:tcW w:w="2268" w:type="dxa"/>
            <w:tcBorders>
              <w:right w:val="single" w:sz="8" w:space="0" w:color="auto"/>
            </w:tcBorders>
            <w:vAlign w:val="center"/>
          </w:tcPr>
          <w:p w14:paraId="1760422D"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Beroun</w:t>
            </w:r>
          </w:p>
        </w:tc>
      </w:tr>
      <w:tr w:rsidR="00294342" w:rsidRPr="00447172" w14:paraId="3469F88E" w14:textId="77777777" w:rsidTr="004459F3">
        <w:trPr>
          <w:trHeight w:val="397"/>
        </w:trPr>
        <w:tc>
          <w:tcPr>
            <w:tcW w:w="2268" w:type="dxa"/>
            <w:tcBorders>
              <w:left w:val="single" w:sz="8" w:space="0" w:color="auto"/>
            </w:tcBorders>
            <w:vAlign w:val="center"/>
          </w:tcPr>
          <w:p w14:paraId="7CCEF524" w14:textId="403B4368"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shd w:val="clear" w:color="auto" w:fill="auto"/>
            <w:noWrap/>
            <w:vAlign w:val="center"/>
          </w:tcPr>
          <w:p w14:paraId="2A9F5F77"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D6</w:t>
            </w:r>
          </w:p>
        </w:tc>
        <w:tc>
          <w:tcPr>
            <w:tcW w:w="2268" w:type="dxa"/>
            <w:shd w:val="clear" w:color="auto" w:fill="auto"/>
            <w:noWrap/>
            <w:vAlign w:val="center"/>
          </w:tcPr>
          <w:p w14:paraId="3F1E1599"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11,2</w:t>
            </w:r>
          </w:p>
        </w:tc>
        <w:tc>
          <w:tcPr>
            <w:tcW w:w="2268" w:type="dxa"/>
            <w:tcBorders>
              <w:right w:val="single" w:sz="8" w:space="0" w:color="auto"/>
            </w:tcBorders>
            <w:vAlign w:val="center"/>
          </w:tcPr>
          <w:p w14:paraId="002F5F5C"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Kladno</w:t>
            </w:r>
          </w:p>
        </w:tc>
      </w:tr>
      <w:tr w:rsidR="00294342" w:rsidRPr="00447172" w14:paraId="51DB0EC6" w14:textId="77777777" w:rsidTr="004459F3">
        <w:trPr>
          <w:trHeight w:val="397"/>
        </w:trPr>
        <w:tc>
          <w:tcPr>
            <w:tcW w:w="2268" w:type="dxa"/>
            <w:tcBorders>
              <w:left w:val="single" w:sz="8" w:space="0" w:color="auto"/>
            </w:tcBorders>
            <w:vAlign w:val="center"/>
          </w:tcPr>
          <w:p w14:paraId="607138E6" w14:textId="3C95B191"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shd w:val="clear" w:color="auto" w:fill="auto"/>
            <w:noWrap/>
            <w:vAlign w:val="center"/>
          </w:tcPr>
          <w:p w14:paraId="72A0CB8F"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D10</w:t>
            </w:r>
          </w:p>
        </w:tc>
        <w:tc>
          <w:tcPr>
            <w:tcW w:w="2268" w:type="dxa"/>
            <w:shd w:val="clear" w:color="auto" w:fill="auto"/>
            <w:noWrap/>
            <w:vAlign w:val="center"/>
          </w:tcPr>
          <w:p w14:paraId="1DAE1E65"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5,7</w:t>
            </w:r>
          </w:p>
        </w:tc>
        <w:tc>
          <w:tcPr>
            <w:tcW w:w="2268" w:type="dxa"/>
            <w:tcBorders>
              <w:right w:val="single" w:sz="8" w:space="0" w:color="auto"/>
            </w:tcBorders>
            <w:vAlign w:val="center"/>
          </w:tcPr>
          <w:p w14:paraId="3BD0BC78"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Brandýs n. L.</w:t>
            </w:r>
          </w:p>
        </w:tc>
      </w:tr>
      <w:tr w:rsidR="00294342" w:rsidRPr="00447172" w14:paraId="0EC25911" w14:textId="77777777" w:rsidTr="004459F3">
        <w:trPr>
          <w:trHeight w:val="397"/>
        </w:trPr>
        <w:tc>
          <w:tcPr>
            <w:tcW w:w="2268" w:type="dxa"/>
            <w:tcBorders>
              <w:left w:val="single" w:sz="8" w:space="0" w:color="auto"/>
            </w:tcBorders>
            <w:vAlign w:val="center"/>
          </w:tcPr>
          <w:p w14:paraId="5BD2B132" w14:textId="55C9D7C6"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shd w:val="clear" w:color="auto" w:fill="auto"/>
            <w:noWrap/>
            <w:vAlign w:val="center"/>
          </w:tcPr>
          <w:p w14:paraId="3CE4C140"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D11</w:t>
            </w:r>
          </w:p>
        </w:tc>
        <w:tc>
          <w:tcPr>
            <w:tcW w:w="2268" w:type="dxa"/>
            <w:shd w:val="clear" w:color="auto" w:fill="auto"/>
            <w:noWrap/>
            <w:vAlign w:val="center"/>
          </w:tcPr>
          <w:p w14:paraId="2ED69848"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79,2</w:t>
            </w:r>
          </w:p>
        </w:tc>
        <w:tc>
          <w:tcPr>
            <w:tcW w:w="2268" w:type="dxa"/>
            <w:tcBorders>
              <w:right w:val="single" w:sz="8" w:space="0" w:color="auto"/>
            </w:tcBorders>
            <w:vAlign w:val="center"/>
          </w:tcPr>
          <w:p w14:paraId="799CC870"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Hradec Králové</w:t>
            </w:r>
          </w:p>
        </w:tc>
      </w:tr>
      <w:tr w:rsidR="00294342" w:rsidRPr="00447172" w14:paraId="08D7A335" w14:textId="77777777" w:rsidTr="004459F3">
        <w:trPr>
          <w:trHeight w:val="397"/>
        </w:trPr>
        <w:tc>
          <w:tcPr>
            <w:tcW w:w="2268" w:type="dxa"/>
            <w:tcBorders>
              <w:left w:val="single" w:sz="8" w:space="0" w:color="auto"/>
              <w:bottom w:val="single" w:sz="8" w:space="0" w:color="auto"/>
            </w:tcBorders>
            <w:vAlign w:val="center"/>
          </w:tcPr>
          <w:p w14:paraId="50DF95B3" w14:textId="3B67A770" w:rsidR="00294342" w:rsidRPr="004459F3" w:rsidRDefault="00817C97" w:rsidP="00763EAE">
            <w:pPr>
              <w:spacing w:after="0" w:line="252" w:lineRule="auto"/>
              <w:jc w:val="center"/>
              <w:rPr>
                <w:rFonts w:cstheme="minorHAnsi"/>
                <w:color w:val="000000"/>
                <w:sz w:val="20"/>
                <w:szCs w:val="20"/>
              </w:rPr>
            </w:pPr>
            <w:r>
              <w:rPr>
                <w:rFonts w:cstheme="minorHAnsi"/>
                <w:color w:val="000000"/>
                <w:sz w:val="20"/>
                <w:szCs w:val="20"/>
              </w:rPr>
              <w:t>V</w:t>
            </w:r>
            <w:r w:rsidR="00294342" w:rsidRPr="004459F3">
              <w:rPr>
                <w:rFonts w:cstheme="minorHAnsi"/>
                <w:color w:val="000000"/>
                <w:sz w:val="20"/>
                <w:szCs w:val="20"/>
              </w:rPr>
              <w:t xml:space="preserve"> přípravě</w:t>
            </w:r>
          </w:p>
        </w:tc>
        <w:tc>
          <w:tcPr>
            <w:tcW w:w="2268" w:type="dxa"/>
            <w:tcBorders>
              <w:bottom w:val="single" w:sz="8" w:space="0" w:color="auto"/>
            </w:tcBorders>
            <w:shd w:val="clear" w:color="auto" w:fill="auto"/>
            <w:noWrap/>
            <w:vAlign w:val="center"/>
          </w:tcPr>
          <w:p w14:paraId="2C7EDA88"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D55</w:t>
            </w:r>
          </w:p>
        </w:tc>
        <w:tc>
          <w:tcPr>
            <w:tcW w:w="2268" w:type="dxa"/>
            <w:tcBorders>
              <w:bottom w:val="single" w:sz="8" w:space="0" w:color="auto"/>
            </w:tcBorders>
            <w:shd w:val="clear" w:color="auto" w:fill="auto"/>
            <w:noWrap/>
            <w:vAlign w:val="center"/>
          </w:tcPr>
          <w:p w14:paraId="19925978" w14:textId="77777777" w:rsidR="00294342" w:rsidRPr="004459F3" w:rsidRDefault="00294342" w:rsidP="00871353">
            <w:pPr>
              <w:spacing w:after="0" w:line="252" w:lineRule="auto"/>
              <w:ind w:right="850"/>
              <w:jc w:val="right"/>
              <w:rPr>
                <w:rFonts w:cstheme="minorHAnsi"/>
                <w:color w:val="000000"/>
                <w:sz w:val="20"/>
                <w:szCs w:val="20"/>
              </w:rPr>
            </w:pPr>
            <w:r w:rsidRPr="004459F3">
              <w:rPr>
                <w:rFonts w:cstheme="minorHAnsi"/>
                <w:color w:val="000000"/>
                <w:sz w:val="20"/>
                <w:szCs w:val="20"/>
              </w:rPr>
              <w:t>61,0</w:t>
            </w:r>
          </w:p>
        </w:tc>
        <w:tc>
          <w:tcPr>
            <w:tcW w:w="2268" w:type="dxa"/>
            <w:tcBorders>
              <w:bottom w:val="single" w:sz="8" w:space="0" w:color="auto"/>
              <w:right w:val="single" w:sz="8" w:space="0" w:color="auto"/>
            </w:tcBorders>
            <w:vAlign w:val="center"/>
          </w:tcPr>
          <w:p w14:paraId="1E7EFDB4" w14:textId="77777777" w:rsidR="00294342" w:rsidRPr="004459F3" w:rsidRDefault="00294342" w:rsidP="00763EAE">
            <w:pPr>
              <w:spacing w:after="0" w:line="252" w:lineRule="auto"/>
              <w:jc w:val="center"/>
              <w:rPr>
                <w:rFonts w:cstheme="minorHAnsi"/>
                <w:color w:val="000000"/>
                <w:sz w:val="20"/>
                <w:szCs w:val="20"/>
              </w:rPr>
            </w:pPr>
            <w:r w:rsidRPr="004459F3">
              <w:rPr>
                <w:rFonts w:cstheme="minorHAnsi"/>
                <w:color w:val="000000"/>
                <w:sz w:val="20"/>
                <w:szCs w:val="20"/>
              </w:rPr>
              <w:t>Kyjov</w:t>
            </w:r>
          </w:p>
        </w:tc>
      </w:tr>
    </w:tbl>
    <w:p w14:paraId="539CE04D" w14:textId="69FE6C4E" w:rsidR="00294342" w:rsidRDefault="00294342" w:rsidP="004459F3">
      <w:pPr>
        <w:spacing w:after="0" w:line="252" w:lineRule="auto"/>
        <w:contextualSpacing/>
        <w:rPr>
          <w:rFonts w:cstheme="minorHAnsi"/>
          <w:sz w:val="20"/>
          <w:szCs w:val="20"/>
        </w:rPr>
      </w:pPr>
      <w:r w:rsidRPr="004459F3">
        <w:rPr>
          <w:rFonts w:cstheme="minorHAnsi"/>
          <w:b/>
          <w:bCs/>
          <w:sz w:val="20"/>
          <w:szCs w:val="20"/>
        </w:rPr>
        <w:t>Zdroj:</w:t>
      </w:r>
      <w:r>
        <w:rPr>
          <w:rFonts w:cstheme="minorHAnsi"/>
          <w:sz w:val="20"/>
          <w:szCs w:val="20"/>
        </w:rPr>
        <w:t xml:space="preserve"> ŘSD</w:t>
      </w:r>
      <w:r w:rsidR="00763EAE">
        <w:rPr>
          <w:rFonts w:cstheme="minorHAnsi"/>
          <w:sz w:val="20"/>
          <w:szCs w:val="20"/>
        </w:rPr>
        <w:t>.</w:t>
      </w:r>
    </w:p>
    <w:p w14:paraId="28825D08" w14:textId="1EF402A2" w:rsidR="00FB0D64" w:rsidRDefault="00B86F54" w:rsidP="004459F3">
      <w:pPr>
        <w:spacing w:after="0" w:line="252" w:lineRule="auto"/>
        <w:ind w:left="284" w:hanging="284"/>
        <w:contextualSpacing/>
        <w:jc w:val="both"/>
        <w:rPr>
          <w:rFonts w:cstheme="minorHAnsi"/>
          <w:sz w:val="20"/>
          <w:szCs w:val="20"/>
        </w:rPr>
      </w:pPr>
      <w:r w:rsidRPr="00002A85">
        <w:rPr>
          <w:rFonts w:cstheme="minorHAnsi"/>
          <w:sz w:val="20"/>
          <w:szCs w:val="20"/>
        </w:rPr>
        <w:t>*</w:t>
      </w:r>
      <w:r>
        <w:rPr>
          <w:rFonts w:cstheme="minorHAnsi"/>
          <w:sz w:val="20"/>
          <w:szCs w:val="20"/>
        </w:rPr>
        <w:t xml:space="preserve"> </w:t>
      </w:r>
      <w:r w:rsidR="00763EAE">
        <w:rPr>
          <w:rFonts w:cstheme="minorHAnsi"/>
          <w:sz w:val="20"/>
          <w:szCs w:val="20"/>
        </w:rPr>
        <w:tab/>
      </w:r>
      <w:r w:rsidRPr="00002A85">
        <w:rPr>
          <w:rFonts w:cstheme="minorHAnsi"/>
          <w:sz w:val="20"/>
          <w:szCs w:val="20"/>
        </w:rPr>
        <w:t>Váha na dálnici D5 (ORP Nýřany) a dvě váhy na dálnici D4 (ORP Příbram a ORP Písek) jsou jednosměrné. Ostatní váhy jsou obousměrné, t</w:t>
      </w:r>
      <w:r w:rsidR="00C07248">
        <w:rPr>
          <w:rFonts w:cstheme="minorHAnsi"/>
          <w:sz w:val="20"/>
          <w:szCs w:val="20"/>
        </w:rPr>
        <w:t>j.</w:t>
      </w:r>
      <w:r w:rsidRPr="00002A85">
        <w:rPr>
          <w:rFonts w:cstheme="minorHAnsi"/>
          <w:sz w:val="20"/>
          <w:szCs w:val="20"/>
        </w:rPr>
        <w:t xml:space="preserve"> provádějí měření v obou směrech dálnice. Váhy na dálnici D4 (ORP</w:t>
      </w:r>
      <w:r w:rsidR="00763EAE">
        <w:rPr>
          <w:rFonts w:cstheme="minorHAnsi"/>
          <w:sz w:val="20"/>
          <w:szCs w:val="20"/>
        </w:rPr>
        <w:t> </w:t>
      </w:r>
      <w:r w:rsidRPr="00002A85">
        <w:rPr>
          <w:rFonts w:cstheme="minorHAnsi"/>
          <w:sz w:val="20"/>
          <w:szCs w:val="20"/>
        </w:rPr>
        <w:t>Příbram a</w:t>
      </w:r>
      <w:r w:rsidR="00C14469">
        <w:rPr>
          <w:rFonts w:cstheme="minorHAnsi"/>
          <w:sz w:val="20"/>
          <w:szCs w:val="20"/>
        </w:rPr>
        <w:t> </w:t>
      </w:r>
      <w:r w:rsidRPr="00002A85">
        <w:rPr>
          <w:rFonts w:cstheme="minorHAnsi"/>
          <w:sz w:val="20"/>
          <w:szCs w:val="20"/>
        </w:rPr>
        <w:t>ORP Písek) byly vybudovány soukromou společností v rámci PPP projektu na výstavbu úseku dálnice D4.</w:t>
      </w:r>
    </w:p>
    <w:p w14:paraId="1E568B12" w14:textId="77777777" w:rsidR="00396F81" w:rsidRPr="00396F81" w:rsidRDefault="00396F81" w:rsidP="00396F81">
      <w:pPr>
        <w:pStyle w:val="Odstavecseseznamem"/>
        <w:spacing w:after="0" w:line="252" w:lineRule="auto"/>
        <w:ind w:left="360"/>
        <w:jc w:val="both"/>
        <w:rPr>
          <w:rFonts w:eastAsia="Calibri" w:cstheme="minorHAnsi"/>
          <w:sz w:val="24"/>
          <w:szCs w:val="24"/>
        </w:rPr>
      </w:pPr>
    </w:p>
    <w:p w14:paraId="2C37BA9F" w14:textId="0AD4BCAA" w:rsidR="00831C02" w:rsidRDefault="004A60EB" w:rsidP="004A60EB">
      <w:pPr>
        <w:pStyle w:val="Odstavecseseznamem"/>
        <w:numPr>
          <w:ilvl w:val="0"/>
          <w:numId w:val="37"/>
        </w:numPr>
        <w:spacing w:after="0" w:line="252" w:lineRule="auto"/>
        <w:jc w:val="both"/>
        <w:rPr>
          <w:rFonts w:eastAsia="Calibri" w:cstheme="minorHAnsi"/>
          <w:sz w:val="24"/>
          <w:szCs w:val="24"/>
        </w:rPr>
      </w:pPr>
      <w:r>
        <w:rPr>
          <w:rFonts w:eastAsia="Calibri" w:cstheme="minorHAnsi"/>
          <w:b/>
          <w:i/>
          <w:color w:val="4472C4" w:themeColor="accent5"/>
          <w:sz w:val="24"/>
          <w:szCs w:val="24"/>
        </w:rPr>
        <w:t xml:space="preserve"> </w:t>
      </w:r>
      <w:r w:rsidR="00831C02" w:rsidRPr="002C4E3B">
        <w:rPr>
          <w:rFonts w:eastAsia="Calibri" w:cstheme="minorHAnsi"/>
          <w:b/>
          <w:i/>
          <w:color w:val="4472C4" w:themeColor="accent5"/>
          <w:sz w:val="24"/>
          <w:szCs w:val="24"/>
        </w:rPr>
        <w:t>Zavádění VKV po celou dobu prováz</w:t>
      </w:r>
      <w:r w:rsidR="00D76DF9">
        <w:rPr>
          <w:rFonts w:eastAsia="Calibri" w:cstheme="minorHAnsi"/>
          <w:b/>
          <w:i/>
          <w:color w:val="4472C4" w:themeColor="accent5"/>
          <w:sz w:val="24"/>
          <w:szCs w:val="24"/>
        </w:rPr>
        <w:t xml:space="preserve">ely </w:t>
      </w:r>
      <w:r w:rsidR="00831C02" w:rsidRPr="002C4E3B">
        <w:rPr>
          <w:rFonts w:eastAsia="Calibri" w:cstheme="minorHAnsi"/>
          <w:b/>
          <w:i/>
          <w:color w:val="4472C4" w:themeColor="accent5"/>
          <w:sz w:val="24"/>
          <w:szCs w:val="24"/>
        </w:rPr>
        <w:t>problémy, které se ne</w:t>
      </w:r>
      <w:r w:rsidR="00951F0E">
        <w:rPr>
          <w:rFonts w:eastAsia="Calibri" w:cstheme="minorHAnsi"/>
          <w:b/>
          <w:i/>
          <w:color w:val="4472C4" w:themeColor="accent5"/>
          <w:sz w:val="24"/>
          <w:szCs w:val="24"/>
        </w:rPr>
        <w:t>po</w:t>
      </w:r>
      <w:r w:rsidR="00DB72DC">
        <w:rPr>
          <w:rFonts w:eastAsia="Calibri" w:cstheme="minorHAnsi"/>
          <w:b/>
          <w:i/>
          <w:color w:val="4472C4" w:themeColor="accent5"/>
          <w:sz w:val="24"/>
          <w:szCs w:val="24"/>
        </w:rPr>
        <w:t>dař</w:t>
      </w:r>
      <w:r w:rsidR="00951F0E">
        <w:rPr>
          <w:rFonts w:eastAsia="Calibri" w:cstheme="minorHAnsi"/>
          <w:b/>
          <w:i/>
          <w:color w:val="4472C4" w:themeColor="accent5"/>
          <w:sz w:val="24"/>
          <w:szCs w:val="24"/>
        </w:rPr>
        <w:t>ilo</w:t>
      </w:r>
      <w:r w:rsidR="00831C02" w:rsidRPr="002C4E3B">
        <w:rPr>
          <w:rFonts w:eastAsia="Calibri" w:cstheme="minorHAnsi"/>
          <w:b/>
          <w:i/>
          <w:color w:val="4472C4" w:themeColor="accent5"/>
          <w:sz w:val="24"/>
          <w:szCs w:val="24"/>
        </w:rPr>
        <w:t xml:space="preserve"> odstranit</w:t>
      </w:r>
      <w:r w:rsidR="00E02430">
        <w:rPr>
          <w:rFonts w:eastAsia="Calibri" w:cstheme="minorHAnsi"/>
          <w:b/>
          <w:i/>
          <w:color w:val="4472C4" w:themeColor="accent5"/>
          <w:sz w:val="24"/>
          <w:szCs w:val="24"/>
        </w:rPr>
        <w:t>.</w:t>
      </w:r>
      <w:r w:rsidR="00831C02" w:rsidRPr="002C4E3B">
        <w:rPr>
          <w:rFonts w:eastAsia="Calibri" w:cstheme="minorHAnsi"/>
          <w:b/>
          <w:i/>
          <w:color w:val="4472C4" w:themeColor="accent5"/>
          <w:sz w:val="24"/>
          <w:szCs w:val="24"/>
        </w:rPr>
        <w:br/>
      </w:r>
    </w:p>
    <w:p w14:paraId="70FF40DF" w14:textId="7921E5B0" w:rsidR="003D42F5" w:rsidRDefault="000F4650" w:rsidP="003D42F5">
      <w:pPr>
        <w:spacing w:after="0" w:line="252" w:lineRule="auto"/>
        <w:contextualSpacing/>
        <w:jc w:val="both"/>
        <w:rPr>
          <w:rFonts w:eastAsia="Calibri" w:cstheme="minorHAnsi"/>
          <w:sz w:val="24"/>
          <w:szCs w:val="24"/>
        </w:rPr>
      </w:pPr>
      <w:r>
        <w:rPr>
          <w:rFonts w:eastAsia="Calibri" w:cstheme="minorHAnsi"/>
          <w:sz w:val="24"/>
          <w:szCs w:val="24"/>
        </w:rPr>
        <w:t>4.</w:t>
      </w:r>
      <w:r w:rsidR="00951F0E">
        <w:rPr>
          <w:rFonts w:eastAsia="Calibri" w:cstheme="minorHAnsi"/>
          <w:sz w:val="24"/>
          <w:szCs w:val="24"/>
        </w:rPr>
        <w:t>1</w:t>
      </w:r>
      <w:r w:rsidR="00216774">
        <w:rPr>
          <w:rFonts w:eastAsia="Calibri" w:cstheme="minorHAnsi"/>
          <w:sz w:val="24"/>
          <w:szCs w:val="24"/>
        </w:rPr>
        <w:t>2</w:t>
      </w:r>
      <w:r>
        <w:rPr>
          <w:rFonts w:eastAsia="Calibri" w:cstheme="minorHAnsi"/>
          <w:sz w:val="24"/>
          <w:szCs w:val="24"/>
        </w:rPr>
        <w:t xml:space="preserve"> </w:t>
      </w:r>
      <w:r w:rsidR="00365FEB">
        <w:rPr>
          <w:rFonts w:eastAsia="Calibri" w:cstheme="minorHAnsi"/>
          <w:sz w:val="24"/>
          <w:szCs w:val="24"/>
        </w:rPr>
        <w:t>NKÚ zjišťoval</w:t>
      </w:r>
      <w:r w:rsidR="0041548E">
        <w:rPr>
          <w:rFonts w:eastAsia="Calibri" w:cstheme="minorHAnsi"/>
          <w:sz w:val="24"/>
          <w:szCs w:val="24"/>
        </w:rPr>
        <w:t>, jak MD a ŘSD postupovaly při zavádění a optimalizaci systému VKV</w:t>
      </w:r>
      <w:r w:rsidR="00396F81">
        <w:rPr>
          <w:rFonts w:eastAsia="Calibri" w:cstheme="minorHAnsi"/>
          <w:sz w:val="24"/>
          <w:szCs w:val="24"/>
        </w:rPr>
        <w:t>,</w:t>
      </w:r>
      <w:r w:rsidR="0041548E">
        <w:rPr>
          <w:rFonts w:eastAsia="Calibri" w:cstheme="minorHAnsi"/>
          <w:sz w:val="24"/>
          <w:szCs w:val="24"/>
        </w:rPr>
        <w:t xml:space="preserve"> a </w:t>
      </w:r>
      <w:r w:rsidR="007A279F">
        <w:rPr>
          <w:rFonts w:eastAsia="Calibri" w:cstheme="minorHAnsi"/>
          <w:sz w:val="24"/>
          <w:szCs w:val="24"/>
        </w:rPr>
        <w:t xml:space="preserve">zda </w:t>
      </w:r>
      <w:r w:rsidR="0041548E">
        <w:rPr>
          <w:rFonts w:eastAsia="Calibri" w:cstheme="minorHAnsi"/>
          <w:sz w:val="24"/>
          <w:szCs w:val="24"/>
        </w:rPr>
        <w:t xml:space="preserve">se jim </w:t>
      </w:r>
      <w:r w:rsidR="00E02430">
        <w:rPr>
          <w:rFonts w:eastAsia="Calibri" w:cstheme="minorHAnsi"/>
          <w:sz w:val="24"/>
          <w:szCs w:val="24"/>
        </w:rPr>
        <w:t xml:space="preserve">úspěšně </w:t>
      </w:r>
      <w:r w:rsidR="0041548E">
        <w:rPr>
          <w:rFonts w:eastAsia="Calibri" w:cstheme="minorHAnsi"/>
          <w:sz w:val="24"/>
          <w:szCs w:val="24"/>
        </w:rPr>
        <w:t xml:space="preserve">podařilo tento systém implementovat. Při kontrole se NKÚ zaměřil </w:t>
      </w:r>
      <w:r w:rsidR="00D15777">
        <w:rPr>
          <w:rFonts w:eastAsia="Calibri" w:cstheme="minorHAnsi"/>
          <w:sz w:val="24"/>
          <w:szCs w:val="24"/>
        </w:rPr>
        <w:t xml:space="preserve">mj. </w:t>
      </w:r>
      <w:r w:rsidR="0041548E">
        <w:rPr>
          <w:rFonts w:eastAsia="Calibri" w:cstheme="minorHAnsi"/>
          <w:sz w:val="24"/>
          <w:szCs w:val="24"/>
        </w:rPr>
        <w:t xml:space="preserve">na </w:t>
      </w:r>
      <w:r w:rsidR="00561855">
        <w:rPr>
          <w:rFonts w:eastAsia="Calibri" w:cstheme="minorHAnsi"/>
          <w:sz w:val="24"/>
          <w:szCs w:val="24"/>
        </w:rPr>
        <w:t xml:space="preserve">postup MD a ŘSD při </w:t>
      </w:r>
      <w:r w:rsidR="0041548E">
        <w:rPr>
          <w:rFonts w:eastAsia="Calibri" w:cstheme="minorHAnsi"/>
          <w:sz w:val="24"/>
          <w:szCs w:val="24"/>
        </w:rPr>
        <w:t>identifikaci a odstra</w:t>
      </w:r>
      <w:r w:rsidR="0041548E" w:rsidRPr="0041548E">
        <w:rPr>
          <w:rFonts w:eastAsia="Calibri" w:cstheme="minorHAnsi"/>
          <w:sz w:val="24"/>
          <w:szCs w:val="24"/>
        </w:rPr>
        <w:t xml:space="preserve">ňování </w:t>
      </w:r>
      <w:r w:rsidR="0041548E">
        <w:rPr>
          <w:rFonts w:eastAsia="Calibri" w:cstheme="minorHAnsi"/>
          <w:sz w:val="24"/>
          <w:szCs w:val="24"/>
        </w:rPr>
        <w:t xml:space="preserve">problémů, které způsobovaly omezení funkčnosti </w:t>
      </w:r>
      <w:r w:rsidR="00D15777">
        <w:rPr>
          <w:rFonts w:eastAsia="Calibri" w:cstheme="minorHAnsi"/>
          <w:sz w:val="24"/>
          <w:szCs w:val="24"/>
        </w:rPr>
        <w:t>a</w:t>
      </w:r>
      <w:r w:rsidR="0041548E">
        <w:rPr>
          <w:rFonts w:eastAsia="Calibri" w:cstheme="minorHAnsi"/>
          <w:sz w:val="24"/>
          <w:szCs w:val="24"/>
        </w:rPr>
        <w:t xml:space="preserve"> účinnosti systému VKV</w:t>
      </w:r>
      <w:r w:rsidR="00561855">
        <w:rPr>
          <w:rFonts w:eastAsia="Calibri" w:cstheme="minorHAnsi"/>
          <w:sz w:val="24"/>
          <w:szCs w:val="24"/>
        </w:rPr>
        <w:t xml:space="preserve"> a ohrožovaly tak plnění </w:t>
      </w:r>
      <w:r w:rsidR="00164CA0">
        <w:rPr>
          <w:rFonts w:eastAsia="Calibri" w:cstheme="minorHAnsi"/>
          <w:sz w:val="24"/>
          <w:szCs w:val="24"/>
        </w:rPr>
        <w:t xml:space="preserve">určených </w:t>
      </w:r>
      <w:r w:rsidR="00561855">
        <w:rPr>
          <w:rFonts w:eastAsia="Calibri" w:cstheme="minorHAnsi"/>
          <w:sz w:val="24"/>
          <w:szCs w:val="24"/>
        </w:rPr>
        <w:t>úkolů</w:t>
      </w:r>
      <w:r w:rsidR="003D42F5">
        <w:rPr>
          <w:rFonts w:eastAsia="Calibri" w:cstheme="minorHAnsi"/>
          <w:sz w:val="24"/>
          <w:szCs w:val="24"/>
        </w:rPr>
        <w:t xml:space="preserve"> v oblasti ochrany dopravní infrastruktury před jízdami přetížených vozidel.</w:t>
      </w:r>
    </w:p>
    <w:p w14:paraId="0B68A66C" w14:textId="77777777" w:rsidR="00FB0D64" w:rsidRDefault="00FB0D64" w:rsidP="00BD4ABD">
      <w:pPr>
        <w:spacing w:after="0" w:line="252" w:lineRule="auto"/>
        <w:contextualSpacing/>
        <w:jc w:val="both"/>
        <w:rPr>
          <w:rFonts w:eastAsia="Calibri" w:cstheme="minorHAnsi"/>
          <w:sz w:val="24"/>
          <w:szCs w:val="24"/>
        </w:rPr>
      </w:pPr>
    </w:p>
    <w:p w14:paraId="48C53701" w14:textId="3C0046DF" w:rsidR="000002C9" w:rsidRPr="00856336" w:rsidRDefault="000002C9" w:rsidP="004459F3">
      <w:pPr>
        <w:spacing w:after="0" w:line="252" w:lineRule="auto"/>
        <w:contextualSpacing/>
        <w:jc w:val="both"/>
        <w:rPr>
          <w:rFonts w:eastAsia="Calibri" w:cstheme="minorHAnsi"/>
          <w:sz w:val="24"/>
          <w:szCs w:val="24"/>
        </w:rPr>
      </w:pPr>
      <w:r>
        <w:rPr>
          <w:rFonts w:eastAsia="Calibri" w:cstheme="minorHAnsi"/>
          <w:sz w:val="24"/>
          <w:szCs w:val="24"/>
        </w:rPr>
        <w:lastRenderedPageBreak/>
        <w:t>4.1</w:t>
      </w:r>
      <w:r w:rsidR="00216774">
        <w:rPr>
          <w:rFonts w:eastAsia="Calibri" w:cstheme="minorHAnsi"/>
          <w:sz w:val="24"/>
          <w:szCs w:val="24"/>
        </w:rPr>
        <w:t>3</w:t>
      </w:r>
      <w:r>
        <w:rPr>
          <w:rFonts w:eastAsia="Calibri" w:cstheme="minorHAnsi"/>
          <w:sz w:val="24"/>
          <w:szCs w:val="24"/>
        </w:rPr>
        <w:t xml:space="preserve"> MD p</w:t>
      </w:r>
      <w:r w:rsidRPr="00A732E5">
        <w:rPr>
          <w:rFonts w:eastAsia="Calibri" w:cstheme="minorHAnsi"/>
          <w:sz w:val="24"/>
          <w:szCs w:val="24"/>
        </w:rPr>
        <w:t>ř</w:t>
      </w:r>
      <w:r>
        <w:rPr>
          <w:rFonts w:eastAsia="Calibri" w:cstheme="minorHAnsi"/>
          <w:sz w:val="24"/>
          <w:szCs w:val="24"/>
        </w:rPr>
        <w:t>ed</w:t>
      </w:r>
      <w:r w:rsidRPr="00A732E5">
        <w:rPr>
          <w:rFonts w:eastAsia="Calibri" w:cstheme="minorHAnsi"/>
          <w:sz w:val="24"/>
          <w:szCs w:val="24"/>
        </w:rPr>
        <w:t xml:space="preserve"> spuštění</w:t>
      </w:r>
      <w:r>
        <w:rPr>
          <w:rFonts w:eastAsia="Calibri" w:cstheme="minorHAnsi"/>
          <w:sz w:val="24"/>
          <w:szCs w:val="24"/>
        </w:rPr>
        <w:t>m</w:t>
      </w:r>
      <w:r w:rsidRPr="00A732E5">
        <w:rPr>
          <w:rFonts w:eastAsia="Calibri" w:cstheme="minorHAnsi"/>
          <w:sz w:val="24"/>
          <w:szCs w:val="24"/>
        </w:rPr>
        <w:t xml:space="preserve"> systému VKV </w:t>
      </w:r>
      <w:r>
        <w:rPr>
          <w:rFonts w:eastAsia="Calibri" w:cstheme="minorHAnsi"/>
          <w:sz w:val="24"/>
          <w:szCs w:val="24"/>
        </w:rPr>
        <w:t>ne</w:t>
      </w:r>
      <w:r w:rsidRPr="00A732E5">
        <w:rPr>
          <w:rFonts w:eastAsia="Calibri" w:cstheme="minorHAnsi"/>
          <w:sz w:val="24"/>
          <w:szCs w:val="24"/>
        </w:rPr>
        <w:t>vytvoř</w:t>
      </w:r>
      <w:r>
        <w:rPr>
          <w:rFonts w:eastAsia="Calibri" w:cstheme="minorHAnsi"/>
          <w:sz w:val="24"/>
          <w:szCs w:val="24"/>
        </w:rPr>
        <w:t>ilo</w:t>
      </w:r>
      <w:r w:rsidRPr="00A732E5">
        <w:rPr>
          <w:rFonts w:eastAsia="Calibri" w:cstheme="minorHAnsi"/>
          <w:sz w:val="24"/>
          <w:szCs w:val="24"/>
        </w:rPr>
        <w:t xml:space="preserve"> legislativní, materiálně-technické </w:t>
      </w:r>
      <w:r w:rsidR="0028088D">
        <w:rPr>
          <w:rFonts w:eastAsia="Calibri" w:cstheme="minorHAnsi"/>
          <w:sz w:val="24"/>
          <w:szCs w:val="24"/>
        </w:rPr>
        <w:br/>
      </w:r>
      <w:r w:rsidRPr="00A732E5">
        <w:rPr>
          <w:rFonts w:eastAsia="Calibri" w:cstheme="minorHAnsi"/>
          <w:sz w:val="24"/>
          <w:szCs w:val="24"/>
        </w:rPr>
        <w:t>a organizační podmínky</w:t>
      </w:r>
      <w:r w:rsidR="00164CA0">
        <w:rPr>
          <w:rFonts w:eastAsia="Calibri" w:cstheme="minorHAnsi"/>
          <w:sz w:val="24"/>
          <w:szCs w:val="24"/>
        </w:rPr>
        <w:t xml:space="preserve"> pro </w:t>
      </w:r>
      <w:r w:rsidR="001F715C">
        <w:rPr>
          <w:rFonts w:eastAsia="Calibri" w:cstheme="minorHAnsi"/>
          <w:sz w:val="24"/>
          <w:szCs w:val="24"/>
        </w:rPr>
        <w:t xml:space="preserve">jeho </w:t>
      </w:r>
      <w:r w:rsidR="00164CA0">
        <w:rPr>
          <w:rFonts w:eastAsia="Calibri" w:cstheme="minorHAnsi"/>
          <w:sz w:val="24"/>
          <w:szCs w:val="24"/>
        </w:rPr>
        <w:t>bezproblémový provoz</w:t>
      </w:r>
      <w:r w:rsidRPr="00A732E5">
        <w:rPr>
          <w:rFonts w:eastAsia="Calibri" w:cstheme="minorHAnsi"/>
          <w:sz w:val="24"/>
          <w:szCs w:val="24"/>
        </w:rPr>
        <w:t>.</w:t>
      </w:r>
      <w:r>
        <w:rPr>
          <w:rFonts w:eastAsia="Calibri" w:cstheme="minorHAnsi"/>
          <w:sz w:val="24"/>
          <w:szCs w:val="24"/>
        </w:rPr>
        <w:t xml:space="preserve"> Nastavení tohoto systému </w:t>
      </w:r>
      <w:r w:rsidRPr="00F600A8">
        <w:rPr>
          <w:rFonts w:eastAsia="Calibri" w:cstheme="minorHAnsi"/>
          <w:sz w:val="24"/>
          <w:szCs w:val="24"/>
        </w:rPr>
        <w:t>v </w:t>
      </w:r>
      <w:r w:rsidRPr="00856336">
        <w:rPr>
          <w:rFonts w:eastAsia="Calibri" w:cstheme="minorHAnsi"/>
          <w:sz w:val="24"/>
          <w:szCs w:val="24"/>
        </w:rPr>
        <w:t>kontrolovaném období let 2019</w:t>
      </w:r>
      <w:r w:rsidR="00FA3F22">
        <w:rPr>
          <w:rFonts w:eastAsia="Calibri" w:cstheme="minorHAnsi"/>
          <w:sz w:val="24"/>
          <w:szCs w:val="24"/>
        </w:rPr>
        <w:t>–</w:t>
      </w:r>
      <w:r w:rsidRPr="00856336">
        <w:rPr>
          <w:rFonts w:eastAsia="Calibri" w:cstheme="minorHAnsi"/>
          <w:sz w:val="24"/>
          <w:szCs w:val="24"/>
        </w:rPr>
        <w:t>2024 trpělo vážnými nedostatky</w:t>
      </w:r>
      <w:r w:rsidR="00E2239E">
        <w:rPr>
          <w:rFonts w:eastAsia="Calibri" w:cstheme="minorHAnsi"/>
          <w:sz w:val="24"/>
          <w:szCs w:val="24"/>
        </w:rPr>
        <w:t>, které</w:t>
      </w:r>
      <w:r w:rsidRPr="00856336">
        <w:rPr>
          <w:rFonts w:eastAsia="Calibri" w:cstheme="minorHAnsi"/>
          <w:sz w:val="24"/>
          <w:szCs w:val="24"/>
        </w:rPr>
        <w:t xml:space="preserve"> výrazně omez</w:t>
      </w:r>
      <w:r w:rsidR="00F04C76">
        <w:rPr>
          <w:rFonts w:eastAsia="Calibri" w:cstheme="minorHAnsi"/>
          <w:sz w:val="24"/>
          <w:szCs w:val="24"/>
        </w:rPr>
        <w:t>ovaly</w:t>
      </w:r>
      <w:r w:rsidRPr="00856336">
        <w:rPr>
          <w:rFonts w:eastAsia="Calibri" w:cstheme="minorHAnsi"/>
          <w:sz w:val="24"/>
          <w:szCs w:val="24"/>
        </w:rPr>
        <w:t xml:space="preserve"> </w:t>
      </w:r>
      <w:r w:rsidR="00164CA0">
        <w:rPr>
          <w:rFonts w:eastAsia="Calibri" w:cstheme="minorHAnsi"/>
          <w:sz w:val="24"/>
          <w:szCs w:val="24"/>
        </w:rPr>
        <w:t xml:space="preserve">jeho </w:t>
      </w:r>
      <w:r w:rsidRPr="00856336">
        <w:rPr>
          <w:rFonts w:eastAsia="Calibri" w:cstheme="minorHAnsi"/>
          <w:sz w:val="24"/>
          <w:szCs w:val="24"/>
        </w:rPr>
        <w:t xml:space="preserve">funkčnost </w:t>
      </w:r>
      <w:r>
        <w:rPr>
          <w:rFonts w:eastAsia="Calibri" w:cstheme="minorHAnsi"/>
          <w:sz w:val="24"/>
          <w:szCs w:val="24"/>
        </w:rPr>
        <w:t>a účinnost</w:t>
      </w:r>
      <w:r w:rsidRPr="00856336">
        <w:rPr>
          <w:rFonts w:eastAsia="Calibri" w:cstheme="minorHAnsi"/>
          <w:sz w:val="24"/>
          <w:szCs w:val="24"/>
        </w:rPr>
        <w:t>. Zejména se jedn</w:t>
      </w:r>
      <w:r w:rsidR="00E6029F">
        <w:rPr>
          <w:rFonts w:eastAsia="Calibri" w:cstheme="minorHAnsi"/>
          <w:sz w:val="24"/>
          <w:szCs w:val="24"/>
        </w:rPr>
        <w:t>alo</w:t>
      </w:r>
      <w:r w:rsidRPr="00856336">
        <w:rPr>
          <w:rFonts w:eastAsia="Calibri" w:cstheme="minorHAnsi"/>
          <w:sz w:val="24"/>
          <w:szCs w:val="24"/>
        </w:rPr>
        <w:t xml:space="preserve"> o:</w:t>
      </w:r>
    </w:p>
    <w:p w14:paraId="50DBFCED" w14:textId="05FFF6AB" w:rsidR="000002C9" w:rsidRPr="00856336" w:rsidRDefault="000002C9" w:rsidP="000002C9">
      <w:pPr>
        <w:pStyle w:val="Odstavecseseznamem"/>
        <w:numPr>
          <w:ilvl w:val="0"/>
          <w:numId w:val="32"/>
        </w:numPr>
        <w:spacing w:after="0" w:line="252" w:lineRule="auto"/>
        <w:ind w:left="284" w:hanging="218"/>
        <w:jc w:val="both"/>
        <w:rPr>
          <w:rFonts w:eastAsia="Times New Roman" w:cstheme="minorHAnsi"/>
          <w:sz w:val="24"/>
          <w:szCs w:val="24"/>
        </w:rPr>
      </w:pPr>
      <w:r w:rsidRPr="00856336">
        <w:rPr>
          <w:rFonts w:eastAsia="Times New Roman" w:cstheme="minorHAnsi"/>
          <w:sz w:val="24"/>
          <w:szCs w:val="24"/>
        </w:rPr>
        <w:t xml:space="preserve">problémy se zprovozňováním, </w:t>
      </w:r>
      <w:r>
        <w:rPr>
          <w:rFonts w:eastAsia="Times New Roman" w:cstheme="minorHAnsi"/>
          <w:sz w:val="24"/>
          <w:szCs w:val="24"/>
        </w:rPr>
        <w:t xml:space="preserve">úředním ověřováním </w:t>
      </w:r>
      <w:r w:rsidR="001F715C">
        <w:rPr>
          <w:rFonts w:eastAsia="Times New Roman" w:cstheme="minorHAnsi"/>
          <w:sz w:val="24"/>
          <w:szCs w:val="24"/>
        </w:rPr>
        <w:t xml:space="preserve">způsobilosti vah </w:t>
      </w:r>
      <w:r w:rsidR="006E6001">
        <w:rPr>
          <w:rFonts w:eastAsia="Times New Roman" w:cstheme="minorHAnsi"/>
          <w:sz w:val="24"/>
          <w:szCs w:val="24"/>
        </w:rPr>
        <w:t xml:space="preserve">pro VKV </w:t>
      </w:r>
      <w:r w:rsidRPr="00856336">
        <w:rPr>
          <w:rFonts w:eastAsia="Times New Roman" w:cstheme="minorHAnsi"/>
          <w:sz w:val="24"/>
          <w:szCs w:val="24"/>
        </w:rPr>
        <w:t xml:space="preserve">a udržením </w:t>
      </w:r>
      <w:r w:rsidR="006E6001">
        <w:rPr>
          <w:rFonts w:eastAsia="Times New Roman" w:cstheme="minorHAnsi"/>
          <w:sz w:val="24"/>
          <w:szCs w:val="24"/>
        </w:rPr>
        <w:t xml:space="preserve">jejich </w:t>
      </w:r>
      <w:r w:rsidRPr="00856336">
        <w:rPr>
          <w:rFonts w:eastAsia="Times New Roman" w:cstheme="minorHAnsi"/>
          <w:sz w:val="24"/>
          <w:szCs w:val="24"/>
        </w:rPr>
        <w:t>provozuschopnosti (mj. požadavky na technické vlastnosti vozovky v místě vážení, požadavky na dodržení přesnosti vážení);</w:t>
      </w:r>
    </w:p>
    <w:p w14:paraId="2282E897" w14:textId="645D96D4" w:rsidR="000002C9" w:rsidRPr="00856336" w:rsidRDefault="000002C9" w:rsidP="000002C9">
      <w:pPr>
        <w:pStyle w:val="Odstavecseseznamem"/>
        <w:numPr>
          <w:ilvl w:val="0"/>
          <w:numId w:val="32"/>
        </w:numPr>
        <w:spacing w:after="0" w:line="252" w:lineRule="auto"/>
        <w:ind w:left="284" w:hanging="218"/>
        <w:jc w:val="both"/>
        <w:rPr>
          <w:rFonts w:eastAsia="Times New Roman" w:cstheme="minorHAnsi"/>
          <w:sz w:val="24"/>
          <w:szCs w:val="24"/>
        </w:rPr>
      </w:pPr>
      <w:r w:rsidRPr="00856336">
        <w:rPr>
          <w:rFonts w:eastAsia="Times New Roman" w:cstheme="minorHAnsi"/>
          <w:sz w:val="24"/>
          <w:szCs w:val="24"/>
        </w:rPr>
        <w:t xml:space="preserve">problémy se zpracováním </w:t>
      </w:r>
      <w:r w:rsidR="00C07248" w:rsidRPr="00856336">
        <w:rPr>
          <w:rFonts w:eastAsia="Times New Roman" w:cstheme="minorHAnsi"/>
          <w:sz w:val="24"/>
          <w:szCs w:val="24"/>
        </w:rPr>
        <w:t xml:space="preserve">velkého objemu dat </w:t>
      </w:r>
      <w:r w:rsidRPr="00856336">
        <w:rPr>
          <w:rFonts w:eastAsia="Times New Roman" w:cstheme="minorHAnsi"/>
          <w:sz w:val="24"/>
          <w:szCs w:val="24"/>
        </w:rPr>
        <w:t xml:space="preserve">a přenosem </w:t>
      </w:r>
      <w:r w:rsidR="00C07248">
        <w:rPr>
          <w:rFonts w:eastAsia="Times New Roman" w:cstheme="minorHAnsi"/>
          <w:sz w:val="24"/>
          <w:szCs w:val="24"/>
        </w:rPr>
        <w:t xml:space="preserve">těchto dat </w:t>
      </w:r>
      <w:r w:rsidRPr="00856336">
        <w:rPr>
          <w:rFonts w:eastAsia="Times New Roman" w:cstheme="minorHAnsi"/>
          <w:sz w:val="24"/>
          <w:szCs w:val="24"/>
        </w:rPr>
        <w:t xml:space="preserve">mezi váhami </w:t>
      </w:r>
      <w:r w:rsidR="00164CA0">
        <w:rPr>
          <w:rFonts w:eastAsia="Times New Roman" w:cstheme="minorHAnsi"/>
          <w:sz w:val="24"/>
          <w:szCs w:val="24"/>
        </w:rPr>
        <w:t xml:space="preserve">pro </w:t>
      </w:r>
      <w:r w:rsidRPr="00856336">
        <w:rPr>
          <w:rFonts w:eastAsia="Times New Roman" w:cstheme="minorHAnsi"/>
          <w:sz w:val="24"/>
          <w:szCs w:val="24"/>
        </w:rPr>
        <w:t xml:space="preserve">VKV </w:t>
      </w:r>
      <w:r w:rsidR="00C07248">
        <w:rPr>
          <w:rFonts w:eastAsia="Times New Roman" w:cstheme="minorHAnsi"/>
          <w:sz w:val="24"/>
          <w:szCs w:val="24"/>
        </w:rPr>
        <w:t>(</w:t>
      </w:r>
      <w:r w:rsidRPr="00856336">
        <w:rPr>
          <w:rFonts w:eastAsia="Times New Roman" w:cstheme="minorHAnsi"/>
          <w:sz w:val="24"/>
          <w:szCs w:val="24"/>
        </w:rPr>
        <w:t>provozovanými ŘSD</w:t>
      </w:r>
      <w:r w:rsidR="00C07248">
        <w:rPr>
          <w:rFonts w:eastAsia="Times New Roman" w:cstheme="minorHAnsi"/>
          <w:sz w:val="24"/>
          <w:szCs w:val="24"/>
        </w:rPr>
        <w:t>)</w:t>
      </w:r>
      <w:r w:rsidRPr="00856336">
        <w:rPr>
          <w:rFonts w:eastAsia="Times New Roman" w:cstheme="minorHAnsi"/>
          <w:sz w:val="24"/>
          <w:szCs w:val="24"/>
        </w:rPr>
        <w:t xml:space="preserve"> a </w:t>
      </w:r>
      <w:r w:rsidR="00C07248">
        <w:rPr>
          <w:rFonts w:eastAsia="Times New Roman" w:cstheme="minorHAnsi"/>
          <w:sz w:val="24"/>
          <w:szCs w:val="24"/>
        </w:rPr>
        <w:t>obcemi s rozšířenou působností</w:t>
      </w:r>
      <w:r w:rsidRPr="00856336">
        <w:rPr>
          <w:rFonts w:eastAsia="Times New Roman" w:cstheme="minorHAnsi"/>
          <w:sz w:val="24"/>
          <w:szCs w:val="24"/>
        </w:rPr>
        <w:t xml:space="preserve"> zajišťujícími přestupková řízení;</w:t>
      </w:r>
    </w:p>
    <w:p w14:paraId="1321B031" w14:textId="47A6BCE9" w:rsidR="000002C9" w:rsidRPr="008F2E36" w:rsidRDefault="000002C9" w:rsidP="000002C9">
      <w:pPr>
        <w:pStyle w:val="Odstavecseseznamem"/>
        <w:numPr>
          <w:ilvl w:val="0"/>
          <w:numId w:val="32"/>
        </w:numPr>
        <w:spacing w:after="0" w:line="252" w:lineRule="auto"/>
        <w:ind w:left="284" w:hanging="218"/>
        <w:jc w:val="both"/>
        <w:rPr>
          <w:rFonts w:eastAsia="Times New Roman" w:cstheme="minorHAnsi"/>
          <w:sz w:val="24"/>
          <w:szCs w:val="24"/>
        </w:rPr>
      </w:pPr>
      <w:r w:rsidRPr="00856336">
        <w:rPr>
          <w:rFonts w:cstheme="minorHAnsi"/>
          <w:sz w:val="24"/>
          <w:szCs w:val="24"/>
        </w:rPr>
        <w:t>disproporci mezi množstvím zjišťovaných vážních deliktů a reáln</w:t>
      </w:r>
      <w:r w:rsidR="00CF48A9">
        <w:rPr>
          <w:rFonts w:cstheme="minorHAnsi"/>
          <w:sz w:val="24"/>
          <w:szCs w:val="24"/>
        </w:rPr>
        <w:t>ou</w:t>
      </w:r>
      <w:r w:rsidRPr="00856336">
        <w:rPr>
          <w:rFonts w:cstheme="minorHAnsi"/>
          <w:sz w:val="24"/>
          <w:szCs w:val="24"/>
        </w:rPr>
        <w:t xml:space="preserve"> </w:t>
      </w:r>
      <w:r w:rsidR="00CF48A9">
        <w:rPr>
          <w:rFonts w:cstheme="minorHAnsi"/>
          <w:sz w:val="24"/>
          <w:szCs w:val="24"/>
        </w:rPr>
        <w:t xml:space="preserve">kapacitou a </w:t>
      </w:r>
      <w:r w:rsidRPr="00856336">
        <w:rPr>
          <w:rFonts w:cstheme="minorHAnsi"/>
          <w:sz w:val="24"/>
          <w:szCs w:val="24"/>
        </w:rPr>
        <w:t>možnostmi ORP řešit</w:t>
      </w:r>
      <w:r w:rsidR="00CF48A9">
        <w:rPr>
          <w:rFonts w:cstheme="minorHAnsi"/>
          <w:sz w:val="24"/>
          <w:szCs w:val="24"/>
        </w:rPr>
        <w:t xml:space="preserve"> a postihovat</w:t>
      </w:r>
      <w:r w:rsidR="004B5DBF" w:rsidRPr="004B5DBF">
        <w:rPr>
          <w:rFonts w:cstheme="minorHAnsi"/>
          <w:sz w:val="24"/>
          <w:szCs w:val="24"/>
        </w:rPr>
        <w:t xml:space="preserve"> </w:t>
      </w:r>
      <w:r w:rsidR="004B5DBF" w:rsidRPr="00856336">
        <w:rPr>
          <w:rFonts w:cstheme="minorHAnsi"/>
          <w:sz w:val="24"/>
          <w:szCs w:val="24"/>
        </w:rPr>
        <w:t>přestupky</w:t>
      </w:r>
      <w:r>
        <w:rPr>
          <w:rFonts w:cstheme="minorHAnsi"/>
          <w:sz w:val="24"/>
          <w:szCs w:val="24"/>
        </w:rPr>
        <w:t>.</w:t>
      </w:r>
    </w:p>
    <w:p w14:paraId="0E70F848" w14:textId="77777777" w:rsidR="000002C9" w:rsidRDefault="000002C9" w:rsidP="000002C9">
      <w:pPr>
        <w:spacing w:after="0" w:line="252" w:lineRule="auto"/>
        <w:ind w:left="66"/>
        <w:jc w:val="both"/>
        <w:rPr>
          <w:rFonts w:cstheme="minorHAnsi"/>
          <w:sz w:val="24"/>
          <w:szCs w:val="24"/>
        </w:rPr>
      </w:pPr>
    </w:p>
    <w:p w14:paraId="1EF1A9A4" w14:textId="617A71DC" w:rsidR="000002C9" w:rsidRDefault="000002C9" w:rsidP="0084125B">
      <w:pPr>
        <w:spacing w:after="0" w:line="252" w:lineRule="auto"/>
        <w:jc w:val="both"/>
        <w:rPr>
          <w:rFonts w:cstheme="minorHAnsi"/>
          <w:sz w:val="24"/>
          <w:szCs w:val="24"/>
        </w:rPr>
      </w:pPr>
      <w:r>
        <w:rPr>
          <w:rFonts w:cstheme="minorHAnsi"/>
          <w:sz w:val="24"/>
          <w:szCs w:val="24"/>
        </w:rPr>
        <w:t>4.1</w:t>
      </w:r>
      <w:r w:rsidR="00216774">
        <w:rPr>
          <w:rFonts w:cstheme="minorHAnsi"/>
          <w:sz w:val="24"/>
          <w:szCs w:val="24"/>
        </w:rPr>
        <w:t>4</w:t>
      </w:r>
      <w:r>
        <w:rPr>
          <w:rFonts w:cstheme="minorHAnsi"/>
          <w:sz w:val="24"/>
          <w:szCs w:val="24"/>
        </w:rPr>
        <w:t xml:space="preserve"> P</w:t>
      </w:r>
      <w:r w:rsidRPr="008F2E36">
        <w:rPr>
          <w:rFonts w:cstheme="minorHAnsi"/>
          <w:sz w:val="24"/>
          <w:szCs w:val="24"/>
        </w:rPr>
        <w:t xml:space="preserve">roblémy </w:t>
      </w:r>
      <w:r w:rsidR="00CA5DEE">
        <w:rPr>
          <w:rFonts w:cstheme="minorHAnsi"/>
          <w:sz w:val="24"/>
          <w:szCs w:val="24"/>
        </w:rPr>
        <w:t xml:space="preserve">ORP </w:t>
      </w:r>
      <w:r w:rsidRPr="008F2E36">
        <w:rPr>
          <w:rFonts w:cstheme="minorHAnsi"/>
          <w:sz w:val="24"/>
          <w:szCs w:val="24"/>
        </w:rPr>
        <w:t xml:space="preserve">s dostupností dat a informací potřebných pro řešení přestupků </w:t>
      </w:r>
      <w:r>
        <w:rPr>
          <w:rFonts w:cstheme="minorHAnsi"/>
          <w:sz w:val="24"/>
          <w:szCs w:val="24"/>
        </w:rPr>
        <w:t>se týkaly několika oblastí. Především se jedn</w:t>
      </w:r>
      <w:r w:rsidR="00DD7491">
        <w:rPr>
          <w:rFonts w:cstheme="minorHAnsi"/>
          <w:sz w:val="24"/>
          <w:szCs w:val="24"/>
        </w:rPr>
        <w:t>alo</w:t>
      </w:r>
      <w:r>
        <w:rPr>
          <w:rFonts w:cstheme="minorHAnsi"/>
          <w:sz w:val="24"/>
          <w:szCs w:val="24"/>
        </w:rPr>
        <w:t xml:space="preserve"> o</w:t>
      </w:r>
      <w:r w:rsidRPr="008F2E36">
        <w:rPr>
          <w:rFonts w:cstheme="minorHAnsi"/>
          <w:sz w:val="24"/>
          <w:szCs w:val="24"/>
        </w:rPr>
        <w:t xml:space="preserve"> údaj</w:t>
      </w:r>
      <w:r>
        <w:rPr>
          <w:rFonts w:cstheme="minorHAnsi"/>
          <w:sz w:val="24"/>
          <w:szCs w:val="24"/>
        </w:rPr>
        <w:t>e</w:t>
      </w:r>
      <w:r w:rsidRPr="008F2E36">
        <w:rPr>
          <w:rFonts w:cstheme="minorHAnsi"/>
          <w:sz w:val="24"/>
          <w:szCs w:val="24"/>
        </w:rPr>
        <w:t xml:space="preserve"> o vozidlech registrovaných mimo Českou republiku</w:t>
      </w:r>
      <w:r>
        <w:rPr>
          <w:rFonts w:cstheme="minorHAnsi"/>
          <w:sz w:val="24"/>
          <w:szCs w:val="24"/>
        </w:rPr>
        <w:t xml:space="preserve"> a jejich</w:t>
      </w:r>
      <w:r w:rsidRPr="008F2E36">
        <w:rPr>
          <w:rFonts w:cstheme="minorHAnsi"/>
          <w:sz w:val="24"/>
          <w:szCs w:val="24"/>
        </w:rPr>
        <w:t xml:space="preserve"> řidičích</w:t>
      </w:r>
      <w:r w:rsidR="00C07248">
        <w:rPr>
          <w:rFonts w:cstheme="minorHAnsi"/>
          <w:sz w:val="24"/>
          <w:szCs w:val="24"/>
        </w:rPr>
        <w:t>.</w:t>
      </w:r>
      <w:r>
        <w:rPr>
          <w:rFonts w:cstheme="minorHAnsi"/>
          <w:sz w:val="24"/>
          <w:szCs w:val="24"/>
        </w:rPr>
        <w:t xml:space="preserve"> </w:t>
      </w:r>
      <w:r w:rsidR="00C07248">
        <w:rPr>
          <w:rFonts w:cstheme="minorHAnsi"/>
          <w:sz w:val="24"/>
          <w:szCs w:val="24"/>
        </w:rPr>
        <w:t>P</w:t>
      </w:r>
      <w:r>
        <w:rPr>
          <w:rFonts w:cstheme="minorHAnsi"/>
          <w:sz w:val="24"/>
          <w:szCs w:val="24"/>
        </w:rPr>
        <w:t xml:space="preserve">ro získání </w:t>
      </w:r>
      <w:r w:rsidR="00C07248">
        <w:rPr>
          <w:rFonts w:cstheme="minorHAnsi"/>
          <w:sz w:val="24"/>
          <w:szCs w:val="24"/>
        </w:rPr>
        <w:t xml:space="preserve">těchto údajů </w:t>
      </w:r>
      <w:r>
        <w:rPr>
          <w:rFonts w:cstheme="minorHAnsi"/>
          <w:sz w:val="24"/>
          <w:szCs w:val="24"/>
        </w:rPr>
        <w:t xml:space="preserve">neměly </w:t>
      </w:r>
      <w:r w:rsidR="00C07248">
        <w:rPr>
          <w:rFonts w:cstheme="minorHAnsi"/>
          <w:sz w:val="24"/>
          <w:szCs w:val="24"/>
        </w:rPr>
        <w:t xml:space="preserve">ORP </w:t>
      </w:r>
      <w:r>
        <w:rPr>
          <w:rFonts w:cstheme="minorHAnsi"/>
          <w:sz w:val="24"/>
          <w:szCs w:val="24"/>
        </w:rPr>
        <w:t>žádné nástroje ani oporu</w:t>
      </w:r>
      <w:r w:rsidR="00DB727B">
        <w:rPr>
          <w:rFonts w:cstheme="minorHAnsi"/>
          <w:sz w:val="24"/>
          <w:szCs w:val="24"/>
        </w:rPr>
        <w:t xml:space="preserve"> </w:t>
      </w:r>
      <w:r w:rsidR="00DB727B" w:rsidRPr="00DB727B">
        <w:rPr>
          <w:rFonts w:cstheme="minorHAnsi"/>
          <w:sz w:val="24"/>
          <w:szCs w:val="24"/>
        </w:rPr>
        <w:t>v</w:t>
      </w:r>
      <w:r w:rsidR="00C07248">
        <w:rPr>
          <w:rFonts w:cstheme="minorHAnsi"/>
          <w:sz w:val="24"/>
          <w:szCs w:val="24"/>
        </w:rPr>
        <w:t> </w:t>
      </w:r>
      <w:r w:rsidR="00DB727B" w:rsidRPr="00DB727B">
        <w:rPr>
          <w:rFonts w:cstheme="minorHAnsi"/>
          <w:sz w:val="24"/>
          <w:szCs w:val="24"/>
        </w:rPr>
        <w:t>právních předpisech</w:t>
      </w:r>
      <w:r>
        <w:rPr>
          <w:rFonts w:cstheme="minorHAnsi"/>
          <w:sz w:val="24"/>
          <w:szCs w:val="24"/>
        </w:rPr>
        <w:t>. Dále se mj. jedn</w:t>
      </w:r>
      <w:r w:rsidR="00DD7491">
        <w:rPr>
          <w:rFonts w:cstheme="minorHAnsi"/>
          <w:sz w:val="24"/>
          <w:szCs w:val="24"/>
        </w:rPr>
        <w:t>alo</w:t>
      </w:r>
      <w:r>
        <w:rPr>
          <w:rFonts w:cstheme="minorHAnsi"/>
          <w:sz w:val="24"/>
          <w:szCs w:val="24"/>
        </w:rPr>
        <w:t xml:space="preserve"> o </w:t>
      </w:r>
      <w:r w:rsidRPr="008F2E36">
        <w:rPr>
          <w:rFonts w:cstheme="minorHAnsi"/>
          <w:sz w:val="24"/>
          <w:szCs w:val="24"/>
        </w:rPr>
        <w:t>problematik</w:t>
      </w:r>
      <w:r>
        <w:rPr>
          <w:rFonts w:cstheme="minorHAnsi"/>
          <w:sz w:val="24"/>
          <w:szCs w:val="24"/>
        </w:rPr>
        <w:t>u</w:t>
      </w:r>
      <w:r w:rsidRPr="008F2E36">
        <w:rPr>
          <w:rFonts w:cstheme="minorHAnsi"/>
          <w:sz w:val="24"/>
          <w:szCs w:val="24"/>
        </w:rPr>
        <w:t xml:space="preserve"> evidence tzv. nadměrných nákladů</w:t>
      </w:r>
      <w:r>
        <w:rPr>
          <w:rFonts w:cstheme="minorHAnsi"/>
          <w:sz w:val="24"/>
          <w:szCs w:val="24"/>
        </w:rPr>
        <w:t xml:space="preserve">. </w:t>
      </w:r>
      <w:r w:rsidR="00546E29">
        <w:rPr>
          <w:rFonts w:cstheme="minorHAnsi"/>
          <w:sz w:val="24"/>
          <w:szCs w:val="24"/>
        </w:rPr>
        <w:t xml:space="preserve">Z dokladů, které předložily ke kontrole MD i ŘSD, vyplývá, že </w:t>
      </w:r>
      <w:r>
        <w:rPr>
          <w:rFonts w:cstheme="minorHAnsi"/>
          <w:sz w:val="24"/>
          <w:szCs w:val="24"/>
        </w:rPr>
        <w:t>ORP při zpracování každého jednotlivého případu musel</w:t>
      </w:r>
      <w:r w:rsidR="00164CA0">
        <w:rPr>
          <w:rFonts w:cstheme="minorHAnsi"/>
          <w:sz w:val="24"/>
          <w:szCs w:val="24"/>
        </w:rPr>
        <w:t>y</w:t>
      </w:r>
      <w:r>
        <w:rPr>
          <w:rFonts w:cstheme="minorHAnsi"/>
          <w:sz w:val="24"/>
          <w:szCs w:val="24"/>
        </w:rPr>
        <w:t xml:space="preserve"> složitě dohledávat, zda vozidlo překračující hmotnostní limity nemělo pro svou jízdu vydáno zvláštní povolení. Zásadním problémem byla</w:t>
      </w:r>
      <w:r w:rsidR="00546E29">
        <w:rPr>
          <w:rFonts w:cstheme="minorHAnsi"/>
          <w:sz w:val="24"/>
          <w:szCs w:val="24"/>
        </w:rPr>
        <w:t xml:space="preserve"> </w:t>
      </w:r>
      <w:r>
        <w:rPr>
          <w:rFonts w:cstheme="minorHAnsi"/>
          <w:sz w:val="24"/>
          <w:szCs w:val="24"/>
        </w:rPr>
        <w:t xml:space="preserve">i </w:t>
      </w:r>
      <w:r w:rsidRPr="008F2E36">
        <w:rPr>
          <w:rFonts w:cstheme="minorHAnsi"/>
          <w:sz w:val="24"/>
          <w:szCs w:val="24"/>
        </w:rPr>
        <w:t>nekompatibilita informačních systémů</w:t>
      </w:r>
      <w:r w:rsidR="00CA5DEE">
        <w:rPr>
          <w:rFonts w:cstheme="minorHAnsi"/>
          <w:sz w:val="24"/>
          <w:szCs w:val="24"/>
        </w:rPr>
        <w:t xml:space="preserve"> a</w:t>
      </w:r>
      <w:r w:rsidRPr="008F2E36">
        <w:rPr>
          <w:rFonts w:cstheme="minorHAnsi"/>
          <w:sz w:val="24"/>
          <w:szCs w:val="24"/>
        </w:rPr>
        <w:t xml:space="preserve"> neúplnost a chybovost dat vyžadující jejich kontrolu, dohledávání a</w:t>
      </w:r>
      <w:r w:rsidR="00C07248">
        <w:rPr>
          <w:rFonts w:cstheme="minorHAnsi"/>
          <w:sz w:val="24"/>
          <w:szCs w:val="24"/>
        </w:rPr>
        <w:t> </w:t>
      </w:r>
      <w:r w:rsidRPr="008F2E36">
        <w:rPr>
          <w:rFonts w:cstheme="minorHAnsi"/>
          <w:sz w:val="24"/>
          <w:szCs w:val="24"/>
        </w:rPr>
        <w:t>ruční zpracování.</w:t>
      </w:r>
      <w:r>
        <w:rPr>
          <w:rFonts w:cstheme="minorHAnsi"/>
          <w:sz w:val="24"/>
          <w:szCs w:val="24"/>
        </w:rPr>
        <w:t xml:space="preserve"> </w:t>
      </w:r>
    </w:p>
    <w:p w14:paraId="3805B6FF" w14:textId="77777777" w:rsidR="000002C9" w:rsidRDefault="000002C9" w:rsidP="000002C9">
      <w:pPr>
        <w:spacing w:line="252" w:lineRule="auto"/>
        <w:contextualSpacing/>
        <w:jc w:val="both"/>
        <w:rPr>
          <w:rFonts w:cstheme="minorHAnsi"/>
          <w:sz w:val="24"/>
          <w:szCs w:val="24"/>
        </w:rPr>
      </w:pPr>
    </w:p>
    <w:p w14:paraId="70C73054" w14:textId="7F82A15A" w:rsidR="000B4B97" w:rsidRDefault="000002C9" w:rsidP="000002C9">
      <w:pPr>
        <w:spacing w:line="252" w:lineRule="auto"/>
        <w:contextualSpacing/>
        <w:jc w:val="both"/>
        <w:rPr>
          <w:rFonts w:cstheme="minorHAnsi"/>
          <w:sz w:val="24"/>
          <w:szCs w:val="24"/>
        </w:rPr>
      </w:pPr>
      <w:r>
        <w:rPr>
          <w:rFonts w:cstheme="minorHAnsi"/>
          <w:sz w:val="24"/>
          <w:szCs w:val="24"/>
        </w:rPr>
        <w:t>4.</w:t>
      </w:r>
      <w:r w:rsidR="00951F0E">
        <w:rPr>
          <w:rFonts w:cstheme="minorHAnsi"/>
          <w:sz w:val="24"/>
          <w:szCs w:val="24"/>
        </w:rPr>
        <w:t>1</w:t>
      </w:r>
      <w:r w:rsidR="00216774">
        <w:rPr>
          <w:rFonts w:cstheme="minorHAnsi"/>
          <w:sz w:val="24"/>
          <w:szCs w:val="24"/>
        </w:rPr>
        <w:t>5</w:t>
      </w:r>
      <w:r>
        <w:rPr>
          <w:rFonts w:cstheme="minorHAnsi"/>
          <w:sz w:val="24"/>
          <w:szCs w:val="24"/>
        </w:rPr>
        <w:t xml:space="preserve"> Uvedené problémy se </w:t>
      </w:r>
      <w:r w:rsidR="00C07248">
        <w:rPr>
          <w:rFonts w:cstheme="minorHAnsi"/>
          <w:sz w:val="24"/>
          <w:szCs w:val="24"/>
        </w:rPr>
        <w:t>Ministerstvu dopravy</w:t>
      </w:r>
      <w:r>
        <w:rPr>
          <w:rFonts w:cstheme="minorHAnsi"/>
          <w:sz w:val="24"/>
          <w:szCs w:val="24"/>
        </w:rPr>
        <w:t xml:space="preserve"> </w:t>
      </w:r>
      <w:r w:rsidR="00164CA0">
        <w:rPr>
          <w:rFonts w:cstheme="minorHAnsi"/>
          <w:sz w:val="24"/>
          <w:szCs w:val="24"/>
        </w:rPr>
        <w:t xml:space="preserve">ve spolupráci s ŘSD </w:t>
      </w:r>
      <w:r>
        <w:rPr>
          <w:rFonts w:cstheme="minorHAnsi"/>
          <w:sz w:val="24"/>
          <w:szCs w:val="24"/>
        </w:rPr>
        <w:t xml:space="preserve">nepodařilo uspokojivě vyřešit. </w:t>
      </w:r>
      <w:r w:rsidR="00B95D77" w:rsidRPr="00B95D77">
        <w:rPr>
          <w:rFonts w:cstheme="minorHAnsi"/>
          <w:sz w:val="24"/>
          <w:szCs w:val="24"/>
        </w:rPr>
        <w:t xml:space="preserve">MD nevytvořilo předpoklady pro efektivní postih vážních deliktů v přestupkovém řízení. V důsledku toho </w:t>
      </w:r>
      <w:r w:rsidR="00564166" w:rsidRPr="00B95D77">
        <w:rPr>
          <w:rFonts w:cstheme="minorHAnsi"/>
          <w:sz w:val="24"/>
          <w:szCs w:val="24"/>
        </w:rPr>
        <w:t xml:space="preserve">chybí </w:t>
      </w:r>
      <w:r w:rsidR="00C07248">
        <w:rPr>
          <w:rFonts w:eastAsia="Times New Roman" w:cstheme="minorHAnsi"/>
          <w:sz w:val="24"/>
          <w:szCs w:val="24"/>
        </w:rPr>
        <w:t>obcím s rozšířenou působností</w:t>
      </w:r>
      <w:r w:rsidR="00C07248" w:rsidRPr="00856336">
        <w:rPr>
          <w:rFonts w:eastAsia="Times New Roman" w:cstheme="minorHAnsi"/>
          <w:sz w:val="24"/>
          <w:szCs w:val="24"/>
        </w:rPr>
        <w:t xml:space="preserve"> </w:t>
      </w:r>
      <w:r w:rsidR="00B95D77" w:rsidRPr="00B95D77">
        <w:rPr>
          <w:rFonts w:cstheme="minorHAnsi"/>
          <w:sz w:val="24"/>
          <w:szCs w:val="24"/>
        </w:rPr>
        <w:t>přístup k některým potřebným informacím a řešení přestupků je administrativně a časově náročné. Zároveň chybí i metodické vedení ze strany MD, což způsobuje odlišný přístup jednotlivých ORP k řešení obdobných přestupků. MD v období let 2019</w:t>
      </w:r>
      <w:r w:rsidR="00FA3F22">
        <w:rPr>
          <w:rFonts w:cstheme="minorHAnsi"/>
          <w:sz w:val="24"/>
          <w:szCs w:val="24"/>
        </w:rPr>
        <w:t>–</w:t>
      </w:r>
      <w:r w:rsidR="00B95D77" w:rsidRPr="00B95D77">
        <w:rPr>
          <w:rFonts w:cstheme="minorHAnsi"/>
          <w:sz w:val="24"/>
          <w:szCs w:val="24"/>
        </w:rPr>
        <w:t>2024 nevydalo žádnou metodiku, která by postup ORP sjednocovala. Poslední metodik</w:t>
      </w:r>
      <w:r w:rsidR="000B4B97">
        <w:rPr>
          <w:rFonts w:cstheme="minorHAnsi"/>
          <w:sz w:val="24"/>
          <w:szCs w:val="24"/>
        </w:rPr>
        <w:t>a</w:t>
      </w:r>
      <w:r w:rsidR="00B95D77" w:rsidRPr="00B95D77">
        <w:rPr>
          <w:rFonts w:cstheme="minorHAnsi"/>
          <w:sz w:val="24"/>
          <w:szCs w:val="24"/>
        </w:rPr>
        <w:t xml:space="preserve"> ke kontrolnímu vážení</w:t>
      </w:r>
      <w:r w:rsidR="000B4B97">
        <w:rPr>
          <w:rFonts w:cstheme="minorHAnsi"/>
          <w:sz w:val="24"/>
          <w:szCs w:val="24"/>
        </w:rPr>
        <w:t xml:space="preserve">, </w:t>
      </w:r>
      <w:r w:rsidR="000B4B97" w:rsidRPr="00B95D77">
        <w:rPr>
          <w:rFonts w:cstheme="minorHAnsi"/>
          <w:sz w:val="24"/>
          <w:szCs w:val="24"/>
        </w:rPr>
        <w:t>kter</w:t>
      </w:r>
      <w:r w:rsidR="000B4B97">
        <w:rPr>
          <w:rFonts w:cstheme="minorHAnsi"/>
          <w:sz w:val="24"/>
          <w:szCs w:val="24"/>
        </w:rPr>
        <w:t>ou</w:t>
      </w:r>
      <w:r w:rsidR="000B4B97" w:rsidRPr="00B95D77">
        <w:rPr>
          <w:rFonts w:cstheme="minorHAnsi"/>
          <w:sz w:val="24"/>
          <w:szCs w:val="24"/>
        </w:rPr>
        <w:t xml:space="preserve"> </w:t>
      </w:r>
      <w:r w:rsidR="00B95D77" w:rsidRPr="00B95D77">
        <w:rPr>
          <w:rFonts w:cstheme="minorHAnsi"/>
          <w:sz w:val="24"/>
          <w:szCs w:val="24"/>
        </w:rPr>
        <w:t>MD zpracovalo k právnímu stavu roku 2016, je v současné době nepoužitelná</w:t>
      </w:r>
      <w:r w:rsidR="000B4B97">
        <w:rPr>
          <w:rFonts w:cstheme="minorHAnsi"/>
          <w:sz w:val="24"/>
          <w:szCs w:val="24"/>
        </w:rPr>
        <w:t>.</w:t>
      </w:r>
    </w:p>
    <w:p w14:paraId="35C4457A" w14:textId="77777777" w:rsidR="000002C9" w:rsidRDefault="000002C9" w:rsidP="000002C9">
      <w:pPr>
        <w:spacing w:line="252" w:lineRule="auto"/>
        <w:contextualSpacing/>
        <w:jc w:val="both"/>
        <w:rPr>
          <w:rFonts w:eastAsia="Calibri" w:cstheme="minorHAnsi"/>
          <w:sz w:val="24"/>
          <w:szCs w:val="24"/>
        </w:rPr>
      </w:pPr>
    </w:p>
    <w:p w14:paraId="45AA3C00" w14:textId="77777777" w:rsidR="000002C9" w:rsidRPr="0024327A" w:rsidRDefault="000002C9" w:rsidP="000002C9">
      <w:pPr>
        <w:spacing w:after="0" w:line="252" w:lineRule="auto"/>
        <w:contextualSpacing/>
        <w:jc w:val="both"/>
        <w:rPr>
          <w:rFonts w:ascii="Calibri" w:eastAsia="Aptos" w:hAnsi="Calibri" w:cs="Calibri"/>
          <w:sz w:val="24"/>
          <w:szCs w:val="24"/>
        </w:rPr>
      </w:pPr>
      <w:r>
        <w:rPr>
          <w:rFonts w:cstheme="minorHAnsi"/>
          <w:sz w:val="24"/>
          <w:szCs w:val="24"/>
        </w:rPr>
        <w:t>4.1</w:t>
      </w:r>
      <w:r w:rsidR="00216774">
        <w:rPr>
          <w:rFonts w:cstheme="minorHAnsi"/>
          <w:sz w:val="24"/>
          <w:szCs w:val="24"/>
        </w:rPr>
        <w:t>6</w:t>
      </w:r>
      <w:r>
        <w:rPr>
          <w:rFonts w:cstheme="minorHAnsi"/>
          <w:sz w:val="24"/>
          <w:szCs w:val="24"/>
        </w:rPr>
        <w:t xml:space="preserve"> </w:t>
      </w:r>
      <w:r w:rsidRPr="002607A7">
        <w:rPr>
          <w:rFonts w:cstheme="minorHAnsi"/>
          <w:sz w:val="24"/>
          <w:szCs w:val="24"/>
        </w:rPr>
        <w:t>ŘSD při zavá</w:t>
      </w:r>
      <w:r>
        <w:rPr>
          <w:rFonts w:cstheme="minorHAnsi"/>
          <w:sz w:val="24"/>
          <w:szCs w:val="24"/>
        </w:rPr>
        <w:t>dě</w:t>
      </w:r>
      <w:r w:rsidRPr="002607A7">
        <w:rPr>
          <w:rFonts w:cstheme="minorHAnsi"/>
          <w:sz w:val="24"/>
          <w:szCs w:val="24"/>
        </w:rPr>
        <w:t xml:space="preserve">ní VKV navrhovalo komplexní centralizované řešení, </w:t>
      </w:r>
      <w:r w:rsidR="00CA5DEE">
        <w:rPr>
          <w:rFonts w:cstheme="minorHAnsi"/>
          <w:sz w:val="24"/>
          <w:szCs w:val="24"/>
        </w:rPr>
        <w:t>jehož součástí</w:t>
      </w:r>
      <w:r w:rsidRPr="002607A7">
        <w:rPr>
          <w:rFonts w:cstheme="minorHAnsi"/>
          <w:sz w:val="24"/>
          <w:szCs w:val="24"/>
        </w:rPr>
        <w:t xml:space="preserve"> </w:t>
      </w:r>
      <w:r>
        <w:rPr>
          <w:rFonts w:cstheme="minorHAnsi"/>
          <w:sz w:val="24"/>
          <w:szCs w:val="24"/>
        </w:rPr>
        <w:t>měl být</w:t>
      </w:r>
      <w:r w:rsidRPr="002607A7">
        <w:rPr>
          <w:rFonts w:cstheme="minorHAnsi"/>
          <w:sz w:val="24"/>
          <w:szCs w:val="24"/>
        </w:rPr>
        <w:t xml:space="preserve"> přístup do registru vozidel, identifikac</w:t>
      </w:r>
      <w:r>
        <w:rPr>
          <w:rFonts w:cstheme="minorHAnsi"/>
          <w:sz w:val="24"/>
          <w:szCs w:val="24"/>
        </w:rPr>
        <w:t>e</w:t>
      </w:r>
      <w:r w:rsidRPr="002607A7">
        <w:rPr>
          <w:rFonts w:cstheme="minorHAnsi"/>
          <w:sz w:val="24"/>
          <w:szCs w:val="24"/>
        </w:rPr>
        <w:t xml:space="preserve"> souvislé jízdy při vícenásobné detekci přestupku, přístup do registru povolených nadměrných přeprav, koordinac</w:t>
      </w:r>
      <w:r>
        <w:rPr>
          <w:rFonts w:cstheme="minorHAnsi"/>
          <w:sz w:val="24"/>
          <w:szCs w:val="24"/>
        </w:rPr>
        <w:t>e</w:t>
      </w:r>
      <w:r w:rsidR="00652717">
        <w:rPr>
          <w:rFonts w:cstheme="minorHAnsi"/>
          <w:sz w:val="24"/>
          <w:szCs w:val="24"/>
        </w:rPr>
        <w:t xml:space="preserve"> VKV</w:t>
      </w:r>
      <w:r w:rsidRPr="002607A7">
        <w:rPr>
          <w:rFonts w:cstheme="minorHAnsi"/>
          <w:sz w:val="24"/>
          <w:szCs w:val="24"/>
        </w:rPr>
        <w:t xml:space="preserve"> s </w:t>
      </w:r>
      <w:r>
        <w:rPr>
          <w:rFonts w:cstheme="minorHAnsi"/>
          <w:sz w:val="24"/>
          <w:szCs w:val="24"/>
        </w:rPr>
        <w:t>NKV</w:t>
      </w:r>
      <w:r w:rsidRPr="002607A7">
        <w:rPr>
          <w:rFonts w:cstheme="minorHAnsi"/>
          <w:sz w:val="24"/>
          <w:szCs w:val="24"/>
        </w:rPr>
        <w:t xml:space="preserve"> apod. </w:t>
      </w:r>
      <w:r w:rsidRPr="0024327A">
        <w:rPr>
          <w:rFonts w:ascii="Calibri" w:eastAsia="Aptos" w:hAnsi="Calibri" w:cs="Calibri"/>
          <w:sz w:val="24"/>
          <w:szCs w:val="24"/>
        </w:rPr>
        <w:t>Na absenci systematického, koncepčního a centralizovaného přístupu k výstavbě a provozování systémů VKV</w:t>
      </w:r>
      <w:r>
        <w:rPr>
          <w:rFonts w:ascii="Calibri" w:eastAsia="Aptos" w:hAnsi="Calibri" w:cs="Calibri"/>
          <w:sz w:val="24"/>
          <w:szCs w:val="24"/>
        </w:rPr>
        <w:t xml:space="preserve"> následně v roce 2021 </w:t>
      </w:r>
      <w:r w:rsidR="00164CA0">
        <w:rPr>
          <w:rFonts w:ascii="Calibri" w:eastAsia="Aptos" w:hAnsi="Calibri" w:cs="Calibri"/>
          <w:sz w:val="24"/>
          <w:szCs w:val="24"/>
        </w:rPr>
        <w:t xml:space="preserve">upozornila </w:t>
      </w:r>
      <w:r>
        <w:rPr>
          <w:rFonts w:ascii="Calibri" w:eastAsia="Aptos" w:hAnsi="Calibri" w:cs="Calibri"/>
          <w:sz w:val="24"/>
          <w:szCs w:val="24"/>
        </w:rPr>
        <w:t xml:space="preserve">i výše zmíněná </w:t>
      </w:r>
      <w:r w:rsidRPr="004459F3">
        <w:rPr>
          <w:rFonts w:cstheme="minorHAnsi"/>
          <w:i/>
          <w:iCs/>
          <w:sz w:val="24"/>
          <w:szCs w:val="24"/>
        </w:rPr>
        <w:t>Studie – ITS a C-ITS pro ochranu dálniční a silniční sítě ŘSD</w:t>
      </w:r>
      <w:r>
        <w:rPr>
          <w:rFonts w:cstheme="minorHAnsi"/>
          <w:sz w:val="24"/>
          <w:szCs w:val="24"/>
        </w:rPr>
        <w:t xml:space="preserve">. </w:t>
      </w:r>
      <w:r w:rsidR="004C1570">
        <w:rPr>
          <w:rFonts w:cstheme="minorHAnsi"/>
          <w:sz w:val="24"/>
          <w:szCs w:val="24"/>
        </w:rPr>
        <w:t>Z</w:t>
      </w:r>
      <w:r>
        <w:rPr>
          <w:rFonts w:cstheme="minorHAnsi"/>
          <w:sz w:val="24"/>
          <w:szCs w:val="24"/>
        </w:rPr>
        <w:t xml:space="preserve">avedení automatizovaného zpracování dat </w:t>
      </w:r>
      <w:r w:rsidR="004C1570">
        <w:rPr>
          <w:rFonts w:cstheme="minorHAnsi"/>
          <w:sz w:val="24"/>
          <w:szCs w:val="24"/>
        </w:rPr>
        <w:t>požadova</w:t>
      </w:r>
      <w:r>
        <w:rPr>
          <w:rFonts w:cstheme="minorHAnsi"/>
          <w:sz w:val="24"/>
          <w:szCs w:val="24"/>
        </w:rPr>
        <w:t>ly i ORP. MD ovšem t</w:t>
      </w:r>
      <w:r w:rsidRPr="002607A7">
        <w:rPr>
          <w:rFonts w:cstheme="minorHAnsi"/>
          <w:sz w:val="24"/>
          <w:szCs w:val="24"/>
        </w:rPr>
        <w:t>uto variantu zamítlo</w:t>
      </w:r>
      <w:r>
        <w:rPr>
          <w:rFonts w:cstheme="minorHAnsi"/>
          <w:sz w:val="24"/>
          <w:szCs w:val="24"/>
        </w:rPr>
        <w:t xml:space="preserve"> a upřednostnilo decentralizované řešení s postupným odstraňováním dílčích problémů. </w:t>
      </w:r>
    </w:p>
    <w:p w14:paraId="2ECCAE4F" w14:textId="77777777" w:rsidR="000002C9" w:rsidRDefault="000002C9" w:rsidP="000002C9">
      <w:pPr>
        <w:spacing w:line="252" w:lineRule="auto"/>
        <w:contextualSpacing/>
        <w:jc w:val="both"/>
        <w:rPr>
          <w:rFonts w:eastAsia="Calibri" w:cstheme="minorHAnsi"/>
          <w:sz w:val="24"/>
          <w:szCs w:val="24"/>
        </w:rPr>
      </w:pPr>
    </w:p>
    <w:p w14:paraId="7D47CC29" w14:textId="78D965B5" w:rsidR="000002C9" w:rsidRPr="00B75580" w:rsidRDefault="000002C9" w:rsidP="004459F3">
      <w:pPr>
        <w:keepLines/>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Z </w:t>
      </w:r>
      <w:r>
        <w:rPr>
          <w:rFonts w:eastAsia="Calibri" w:cstheme="minorHAnsi"/>
          <w:sz w:val="24"/>
          <w:szCs w:val="24"/>
        </w:rPr>
        <w:t xml:space="preserve">dopisu </w:t>
      </w:r>
      <w:r w:rsidR="00DD7491">
        <w:rPr>
          <w:rFonts w:eastAsia="Calibri" w:cstheme="minorHAnsi"/>
          <w:sz w:val="24"/>
          <w:szCs w:val="24"/>
        </w:rPr>
        <w:t xml:space="preserve">jedné z </w:t>
      </w:r>
      <w:r w:rsidR="00164CA0">
        <w:rPr>
          <w:rFonts w:eastAsia="Calibri" w:cstheme="minorHAnsi"/>
          <w:sz w:val="24"/>
          <w:szCs w:val="24"/>
        </w:rPr>
        <w:t>ORP</w:t>
      </w:r>
      <w:r>
        <w:rPr>
          <w:rFonts w:eastAsia="Calibri" w:cstheme="minorHAnsi"/>
          <w:sz w:val="24"/>
          <w:szCs w:val="24"/>
        </w:rPr>
        <w:t xml:space="preserve"> </w:t>
      </w:r>
      <w:r w:rsidR="002B744B">
        <w:rPr>
          <w:rFonts w:eastAsia="Calibri" w:cstheme="minorHAnsi"/>
          <w:sz w:val="24"/>
          <w:szCs w:val="24"/>
        </w:rPr>
        <w:t>zaslaného v</w:t>
      </w:r>
      <w:r>
        <w:rPr>
          <w:rFonts w:eastAsia="Calibri" w:cstheme="minorHAnsi"/>
          <w:sz w:val="24"/>
          <w:szCs w:val="24"/>
        </w:rPr>
        <w:t> listopadu 2021</w:t>
      </w:r>
      <w:r w:rsidR="002B744B" w:rsidRPr="002B744B">
        <w:rPr>
          <w:rFonts w:eastAsia="Calibri" w:cstheme="minorHAnsi"/>
          <w:sz w:val="24"/>
          <w:szCs w:val="24"/>
        </w:rPr>
        <w:t xml:space="preserve"> </w:t>
      </w:r>
      <w:r w:rsidR="002B744B">
        <w:rPr>
          <w:rFonts w:eastAsia="Calibri" w:cstheme="minorHAnsi"/>
          <w:sz w:val="24"/>
          <w:szCs w:val="24"/>
        </w:rPr>
        <w:t>MD</w:t>
      </w:r>
      <w:r>
        <w:rPr>
          <w:rFonts w:eastAsia="Calibri" w:cstheme="minorHAnsi"/>
          <w:sz w:val="24"/>
          <w:szCs w:val="24"/>
        </w:rPr>
        <w:t>: „</w:t>
      </w:r>
      <w:r w:rsidR="00CA5DEE">
        <w:rPr>
          <w:rFonts w:eastAsia="Calibri" w:cstheme="minorHAnsi"/>
          <w:sz w:val="24"/>
          <w:szCs w:val="24"/>
        </w:rPr>
        <w:t>...</w:t>
      </w:r>
      <w:r w:rsidR="00564166">
        <w:rPr>
          <w:rFonts w:eastAsia="Calibri" w:cstheme="minorHAnsi"/>
          <w:sz w:val="24"/>
          <w:szCs w:val="24"/>
        </w:rPr>
        <w:t xml:space="preserve"> </w:t>
      </w:r>
      <w:r w:rsidRPr="004E4258">
        <w:rPr>
          <w:i/>
          <w:sz w:val="24"/>
          <w:szCs w:val="24"/>
        </w:rPr>
        <w:t>Bez výše uvedené možnosti automatizovaného zpracování přijatých dat v informačním systému považujeme za nereálné, že by náš úřad jako příslušný správní orgán byl schopen, byť se značně zvýšenými personálními i věcnými náklady, řádně vykonávat správní činnosti spojené s projednáváním přestupků zjištěných vysokorychlostním vážením vozidel</w:t>
      </w:r>
      <w:r w:rsidRPr="00F91E68">
        <w:rPr>
          <w:rFonts w:eastAsia="Calibri" w:cstheme="minorHAnsi"/>
          <w:i/>
          <w:sz w:val="24"/>
          <w:szCs w:val="24"/>
        </w:rPr>
        <w:t>.</w:t>
      </w:r>
      <w:r w:rsidRPr="004459F3">
        <w:rPr>
          <w:rFonts w:cstheme="minorHAnsi"/>
          <w:iCs/>
          <w:sz w:val="24"/>
          <w:szCs w:val="24"/>
        </w:rPr>
        <w:t xml:space="preserve">“ </w:t>
      </w:r>
    </w:p>
    <w:p w14:paraId="46703B54" w14:textId="77777777" w:rsidR="000002C9" w:rsidRPr="004459F3" w:rsidRDefault="000002C9" w:rsidP="00BD4ABD">
      <w:pPr>
        <w:spacing w:after="0" w:line="252" w:lineRule="auto"/>
        <w:contextualSpacing/>
        <w:jc w:val="both"/>
        <w:rPr>
          <w:rFonts w:eastAsia="Calibri" w:cstheme="minorHAnsi"/>
          <w:bCs/>
          <w:iCs/>
          <w:sz w:val="24"/>
          <w:szCs w:val="24"/>
        </w:rPr>
      </w:pPr>
    </w:p>
    <w:p w14:paraId="5AA0D7DC" w14:textId="3F85D91B" w:rsidR="000A5D6C" w:rsidRDefault="00EF7CD6" w:rsidP="00BD4ABD">
      <w:pPr>
        <w:spacing w:after="0" w:line="252" w:lineRule="auto"/>
        <w:contextualSpacing/>
        <w:jc w:val="both"/>
        <w:rPr>
          <w:rFonts w:eastAsia="Calibri" w:cstheme="minorHAnsi"/>
          <w:sz w:val="24"/>
          <w:szCs w:val="24"/>
        </w:rPr>
      </w:pPr>
      <w:r>
        <w:rPr>
          <w:rFonts w:eastAsia="Calibri" w:cstheme="minorHAnsi"/>
          <w:sz w:val="24"/>
          <w:szCs w:val="24"/>
        </w:rPr>
        <w:t>4.1</w:t>
      </w:r>
      <w:r w:rsidR="00216774">
        <w:rPr>
          <w:rFonts w:eastAsia="Calibri" w:cstheme="minorHAnsi"/>
          <w:sz w:val="24"/>
          <w:szCs w:val="24"/>
        </w:rPr>
        <w:t>7</w:t>
      </w:r>
      <w:r>
        <w:rPr>
          <w:rFonts w:eastAsia="Calibri" w:cstheme="minorHAnsi"/>
          <w:sz w:val="24"/>
          <w:szCs w:val="24"/>
        </w:rPr>
        <w:t xml:space="preserve"> </w:t>
      </w:r>
      <w:r w:rsidR="00164CA0">
        <w:rPr>
          <w:rFonts w:eastAsia="Calibri" w:cstheme="minorHAnsi"/>
          <w:sz w:val="24"/>
          <w:szCs w:val="24"/>
        </w:rPr>
        <w:t>ŘSD</w:t>
      </w:r>
      <w:r w:rsidR="00CA5DEE">
        <w:rPr>
          <w:rFonts w:eastAsia="Calibri" w:cstheme="minorHAnsi"/>
          <w:sz w:val="24"/>
          <w:szCs w:val="24"/>
        </w:rPr>
        <w:t xml:space="preserve"> i ORP na problémy s provozem systému VKV </w:t>
      </w:r>
      <w:r w:rsidR="00F9572F">
        <w:rPr>
          <w:rFonts w:eastAsia="Calibri" w:cstheme="minorHAnsi"/>
          <w:sz w:val="24"/>
          <w:szCs w:val="24"/>
        </w:rPr>
        <w:t>Ministerstvo dopravy</w:t>
      </w:r>
      <w:r w:rsidR="00164CA0">
        <w:rPr>
          <w:rFonts w:eastAsia="Calibri" w:cstheme="minorHAnsi"/>
          <w:sz w:val="24"/>
          <w:szCs w:val="24"/>
        </w:rPr>
        <w:t xml:space="preserve"> </w:t>
      </w:r>
      <w:r w:rsidR="00CA5DEE">
        <w:rPr>
          <w:rFonts w:eastAsia="Calibri" w:cstheme="minorHAnsi"/>
          <w:sz w:val="24"/>
          <w:szCs w:val="24"/>
        </w:rPr>
        <w:t xml:space="preserve">opakovaně upozorňovaly. </w:t>
      </w:r>
      <w:r w:rsidR="00B7601F" w:rsidRPr="00B7601F">
        <w:rPr>
          <w:rFonts w:eastAsia="Calibri" w:cstheme="minorHAnsi"/>
          <w:sz w:val="24"/>
          <w:szCs w:val="24"/>
        </w:rPr>
        <w:t xml:space="preserve">ŘSD uvedlo do provozu první váhu pro VKV v lednu 2020 </w:t>
      </w:r>
      <w:r w:rsidR="00BD4ABD">
        <w:rPr>
          <w:rFonts w:eastAsia="Calibri" w:cstheme="minorHAnsi"/>
          <w:sz w:val="24"/>
          <w:szCs w:val="24"/>
        </w:rPr>
        <w:t>na dálnici D5</w:t>
      </w:r>
      <w:r w:rsidR="00160D58">
        <w:rPr>
          <w:rStyle w:val="Znakapoznpodarou"/>
          <w:rFonts w:eastAsia="Calibri" w:cstheme="minorHAnsi"/>
          <w:sz w:val="24"/>
          <w:szCs w:val="24"/>
        </w:rPr>
        <w:footnoteReference w:id="29"/>
      </w:r>
      <w:r w:rsidR="00D15AAB">
        <w:rPr>
          <w:rFonts w:eastAsia="Calibri" w:cstheme="minorHAnsi"/>
          <w:sz w:val="24"/>
          <w:szCs w:val="24"/>
        </w:rPr>
        <w:t>.</w:t>
      </w:r>
      <w:r w:rsidR="00BD4ABD">
        <w:rPr>
          <w:rFonts w:eastAsia="Calibri" w:cstheme="minorHAnsi"/>
          <w:sz w:val="24"/>
          <w:szCs w:val="24"/>
        </w:rPr>
        <w:t xml:space="preserve"> </w:t>
      </w:r>
      <w:r w:rsidR="009444F4">
        <w:rPr>
          <w:rFonts w:eastAsia="Calibri" w:cstheme="minorHAnsi"/>
          <w:sz w:val="24"/>
          <w:szCs w:val="24"/>
        </w:rPr>
        <w:t>J</w:t>
      </w:r>
      <w:r w:rsidR="0093351F">
        <w:rPr>
          <w:rFonts w:eastAsia="Calibri" w:cstheme="minorHAnsi"/>
          <w:sz w:val="24"/>
          <w:szCs w:val="24"/>
        </w:rPr>
        <w:t xml:space="preserve">iž v únoru 2020 </w:t>
      </w:r>
      <w:r w:rsidR="009444F4">
        <w:rPr>
          <w:rFonts w:eastAsia="Calibri" w:cstheme="minorHAnsi"/>
          <w:sz w:val="24"/>
          <w:szCs w:val="24"/>
        </w:rPr>
        <w:t xml:space="preserve">ŘSD </w:t>
      </w:r>
      <w:r w:rsidR="00BD4ABD">
        <w:rPr>
          <w:rFonts w:eastAsia="Calibri" w:cstheme="minorHAnsi"/>
          <w:sz w:val="24"/>
          <w:szCs w:val="24"/>
        </w:rPr>
        <w:t xml:space="preserve">dopisem informovalo </w:t>
      </w:r>
      <w:r w:rsidR="00780155">
        <w:rPr>
          <w:rFonts w:eastAsia="Calibri" w:cstheme="minorHAnsi"/>
          <w:sz w:val="24"/>
          <w:szCs w:val="24"/>
        </w:rPr>
        <w:t>MD</w:t>
      </w:r>
      <w:r w:rsidR="00BD4ABD">
        <w:rPr>
          <w:rFonts w:eastAsia="Calibri" w:cstheme="minorHAnsi"/>
          <w:sz w:val="24"/>
          <w:szCs w:val="24"/>
        </w:rPr>
        <w:t xml:space="preserve"> </w:t>
      </w:r>
      <w:r w:rsidR="00BD4ABD" w:rsidRPr="00BD4ABD">
        <w:rPr>
          <w:rFonts w:eastAsia="Calibri" w:cstheme="minorHAnsi"/>
          <w:sz w:val="24"/>
          <w:szCs w:val="24"/>
        </w:rPr>
        <w:t>o zásadních problémech</w:t>
      </w:r>
      <w:r w:rsidR="00164CA0">
        <w:rPr>
          <w:rFonts w:eastAsia="Calibri" w:cstheme="minorHAnsi"/>
          <w:sz w:val="24"/>
          <w:szCs w:val="24"/>
        </w:rPr>
        <w:t xml:space="preserve"> spojených </w:t>
      </w:r>
      <w:r w:rsidR="00BD4ABD" w:rsidRPr="00BD4ABD">
        <w:rPr>
          <w:rFonts w:eastAsia="Calibri" w:cstheme="minorHAnsi"/>
          <w:sz w:val="24"/>
          <w:szCs w:val="24"/>
        </w:rPr>
        <w:t xml:space="preserve">s provozem VKV. Upozornilo mj. na vysoký počet zjišťovaných </w:t>
      </w:r>
      <w:r w:rsidR="00BD4ABD">
        <w:rPr>
          <w:rFonts w:eastAsia="Calibri" w:cstheme="minorHAnsi"/>
          <w:sz w:val="24"/>
          <w:szCs w:val="24"/>
        </w:rPr>
        <w:t>vážních deliktů</w:t>
      </w:r>
      <w:r w:rsidR="00BD4ABD" w:rsidRPr="00BD4ABD">
        <w:rPr>
          <w:rFonts w:eastAsia="Calibri" w:cstheme="minorHAnsi"/>
          <w:sz w:val="24"/>
          <w:szCs w:val="24"/>
        </w:rPr>
        <w:t xml:space="preserve"> a nemožnost </w:t>
      </w:r>
      <w:r w:rsidR="00BD4ABD">
        <w:rPr>
          <w:rFonts w:eastAsia="Calibri" w:cstheme="minorHAnsi"/>
          <w:sz w:val="24"/>
          <w:szCs w:val="24"/>
        </w:rPr>
        <w:t>je</w:t>
      </w:r>
      <w:r w:rsidR="00BD4ABD" w:rsidRPr="00BD4ABD">
        <w:rPr>
          <w:rFonts w:eastAsia="Calibri" w:cstheme="minorHAnsi"/>
          <w:sz w:val="24"/>
          <w:szCs w:val="24"/>
        </w:rPr>
        <w:t xml:space="preserve"> efektivně zpracovat a řešit</w:t>
      </w:r>
      <w:r w:rsidR="00BD4ABD">
        <w:rPr>
          <w:rFonts w:eastAsia="Calibri" w:cstheme="minorHAnsi"/>
          <w:sz w:val="24"/>
          <w:szCs w:val="24"/>
        </w:rPr>
        <w:t xml:space="preserve"> v přestupkovém řízení</w:t>
      </w:r>
      <w:r w:rsidR="00DD7491">
        <w:rPr>
          <w:rFonts w:eastAsia="Calibri" w:cstheme="minorHAnsi"/>
          <w:sz w:val="24"/>
          <w:szCs w:val="24"/>
        </w:rPr>
        <w:t xml:space="preserve">, které </w:t>
      </w:r>
      <w:r w:rsidR="00F9572F">
        <w:rPr>
          <w:rFonts w:eastAsia="Calibri" w:cstheme="minorHAnsi"/>
          <w:sz w:val="24"/>
          <w:szCs w:val="24"/>
        </w:rPr>
        <w:t>spadá do kompetence</w:t>
      </w:r>
      <w:r w:rsidR="00DD7491">
        <w:rPr>
          <w:rFonts w:eastAsia="Calibri" w:cstheme="minorHAnsi"/>
          <w:sz w:val="24"/>
          <w:szCs w:val="24"/>
        </w:rPr>
        <w:t xml:space="preserve"> ORP.</w:t>
      </w:r>
      <w:r w:rsidR="00BD4ABD">
        <w:rPr>
          <w:rFonts w:eastAsia="Calibri" w:cstheme="minorHAnsi"/>
          <w:sz w:val="24"/>
          <w:szCs w:val="24"/>
        </w:rPr>
        <w:t xml:space="preserve"> </w:t>
      </w:r>
      <w:r w:rsidR="0093351F">
        <w:rPr>
          <w:rFonts w:eastAsia="Calibri" w:cstheme="minorHAnsi"/>
          <w:sz w:val="24"/>
          <w:szCs w:val="24"/>
        </w:rPr>
        <w:t xml:space="preserve">Jen za rok 2020 tato váha zjistila a </w:t>
      </w:r>
      <w:r w:rsidR="00F9572F">
        <w:rPr>
          <w:rFonts w:eastAsia="Calibri" w:cstheme="minorHAnsi"/>
          <w:sz w:val="24"/>
          <w:szCs w:val="24"/>
        </w:rPr>
        <w:t>z</w:t>
      </w:r>
      <w:r w:rsidR="0093351F">
        <w:rPr>
          <w:rFonts w:eastAsia="Calibri" w:cstheme="minorHAnsi"/>
          <w:sz w:val="24"/>
          <w:szCs w:val="24"/>
        </w:rPr>
        <w:t>dokumentovala 51 216 vážních deliktů, z nichž se ale</w:t>
      </w:r>
      <w:r w:rsidR="00F9572F">
        <w:rPr>
          <w:rFonts w:eastAsia="Calibri" w:cstheme="minorHAnsi"/>
          <w:sz w:val="24"/>
          <w:szCs w:val="24"/>
        </w:rPr>
        <w:t xml:space="preserve"> Ředitelství silnic a dálnic</w:t>
      </w:r>
      <w:r w:rsidR="0093351F">
        <w:rPr>
          <w:rFonts w:eastAsia="Calibri" w:cstheme="minorHAnsi"/>
          <w:sz w:val="24"/>
          <w:szCs w:val="24"/>
        </w:rPr>
        <w:t xml:space="preserve"> </w:t>
      </w:r>
      <w:r w:rsidR="00F42B33">
        <w:rPr>
          <w:rFonts w:eastAsia="Calibri" w:cstheme="minorHAnsi"/>
          <w:sz w:val="24"/>
          <w:szCs w:val="24"/>
        </w:rPr>
        <w:t xml:space="preserve">žádný </w:t>
      </w:r>
      <w:r w:rsidR="0093351F">
        <w:rPr>
          <w:rFonts w:eastAsia="Calibri" w:cstheme="minorHAnsi"/>
          <w:sz w:val="24"/>
          <w:szCs w:val="24"/>
        </w:rPr>
        <w:t>nepodařilo</w:t>
      </w:r>
      <w:r w:rsidR="007B27E1">
        <w:rPr>
          <w:rFonts w:eastAsia="Calibri" w:cstheme="minorHAnsi"/>
          <w:sz w:val="24"/>
          <w:szCs w:val="24"/>
        </w:rPr>
        <w:t xml:space="preserve"> </w:t>
      </w:r>
      <w:r w:rsidR="0093351F">
        <w:rPr>
          <w:rFonts w:eastAsia="Calibri" w:cstheme="minorHAnsi"/>
          <w:sz w:val="24"/>
          <w:szCs w:val="24"/>
        </w:rPr>
        <w:t>předat příslušné ORP</w:t>
      </w:r>
      <w:r w:rsidR="00164CA0">
        <w:rPr>
          <w:rFonts w:eastAsia="Calibri" w:cstheme="minorHAnsi"/>
          <w:sz w:val="24"/>
          <w:szCs w:val="24"/>
        </w:rPr>
        <w:t xml:space="preserve"> k dalšímu řešení</w:t>
      </w:r>
      <w:r w:rsidR="0093351F">
        <w:rPr>
          <w:rFonts w:eastAsia="Calibri" w:cstheme="minorHAnsi"/>
          <w:sz w:val="24"/>
          <w:szCs w:val="24"/>
        </w:rPr>
        <w:t>.</w:t>
      </w:r>
    </w:p>
    <w:p w14:paraId="678604A9" w14:textId="77777777" w:rsidR="004260CD" w:rsidRDefault="004260CD" w:rsidP="00BD4ABD">
      <w:pPr>
        <w:spacing w:after="0" w:line="252" w:lineRule="auto"/>
        <w:contextualSpacing/>
        <w:jc w:val="both"/>
        <w:rPr>
          <w:rFonts w:eastAsia="Calibri" w:cstheme="minorHAnsi"/>
          <w:sz w:val="24"/>
          <w:szCs w:val="24"/>
        </w:rPr>
      </w:pPr>
    </w:p>
    <w:p w14:paraId="1B6DBD42" w14:textId="6AE8CEDF" w:rsidR="004260CD" w:rsidRDefault="000F4650" w:rsidP="00BD4ABD">
      <w:pPr>
        <w:spacing w:after="0" w:line="252" w:lineRule="auto"/>
        <w:contextualSpacing/>
        <w:jc w:val="both"/>
        <w:rPr>
          <w:rFonts w:eastAsia="Calibri" w:cstheme="minorHAnsi"/>
          <w:sz w:val="24"/>
          <w:szCs w:val="24"/>
        </w:rPr>
      </w:pPr>
      <w:r>
        <w:rPr>
          <w:rFonts w:eastAsia="Calibri" w:cstheme="minorHAnsi"/>
          <w:sz w:val="24"/>
          <w:szCs w:val="24"/>
        </w:rPr>
        <w:t>4.1</w:t>
      </w:r>
      <w:r w:rsidR="00216774">
        <w:rPr>
          <w:rFonts w:eastAsia="Calibri" w:cstheme="minorHAnsi"/>
          <w:sz w:val="24"/>
          <w:szCs w:val="24"/>
        </w:rPr>
        <w:t>8</w:t>
      </w:r>
      <w:r>
        <w:rPr>
          <w:rFonts w:eastAsia="Calibri" w:cstheme="minorHAnsi"/>
          <w:sz w:val="24"/>
          <w:szCs w:val="24"/>
        </w:rPr>
        <w:t xml:space="preserve"> </w:t>
      </w:r>
      <w:r w:rsidR="004260CD" w:rsidRPr="00757200">
        <w:rPr>
          <w:rFonts w:eastAsia="Calibri" w:cstheme="minorHAnsi"/>
          <w:sz w:val="24"/>
          <w:szCs w:val="24"/>
        </w:rPr>
        <w:t>V březnu 2020 ŘSD</w:t>
      </w:r>
      <w:r w:rsidR="004260CD">
        <w:rPr>
          <w:rFonts w:eastAsia="Calibri" w:cstheme="minorHAnsi"/>
          <w:sz w:val="24"/>
          <w:szCs w:val="24"/>
        </w:rPr>
        <w:t xml:space="preserve"> uvedlo do provozu váhu </w:t>
      </w:r>
      <w:r w:rsidR="00164CA0">
        <w:rPr>
          <w:rFonts w:eastAsia="Calibri" w:cstheme="minorHAnsi"/>
          <w:sz w:val="24"/>
          <w:szCs w:val="24"/>
        </w:rPr>
        <w:t xml:space="preserve">pro VKV </w:t>
      </w:r>
      <w:r w:rsidR="004260CD">
        <w:rPr>
          <w:rFonts w:eastAsia="Calibri" w:cstheme="minorHAnsi"/>
          <w:sz w:val="24"/>
          <w:szCs w:val="24"/>
        </w:rPr>
        <w:t xml:space="preserve">na dálnici D35. Do konce roku 2020 tato váha zjistila a </w:t>
      </w:r>
      <w:r w:rsidR="00F9572F">
        <w:rPr>
          <w:rFonts w:eastAsia="Calibri" w:cstheme="minorHAnsi"/>
          <w:sz w:val="24"/>
          <w:szCs w:val="24"/>
        </w:rPr>
        <w:t>z</w:t>
      </w:r>
      <w:r w:rsidR="004260CD">
        <w:rPr>
          <w:rFonts w:eastAsia="Calibri" w:cstheme="minorHAnsi"/>
          <w:sz w:val="24"/>
          <w:szCs w:val="24"/>
        </w:rPr>
        <w:t xml:space="preserve">dokumentovala </w:t>
      </w:r>
      <w:r w:rsidR="00910D14">
        <w:rPr>
          <w:rFonts w:eastAsia="Calibri" w:cstheme="minorHAnsi"/>
          <w:sz w:val="24"/>
          <w:szCs w:val="24"/>
        </w:rPr>
        <w:t>40 564</w:t>
      </w:r>
      <w:r w:rsidR="004260CD">
        <w:rPr>
          <w:rFonts w:eastAsia="Calibri" w:cstheme="minorHAnsi"/>
          <w:sz w:val="24"/>
          <w:szCs w:val="24"/>
        </w:rPr>
        <w:t xml:space="preserve"> vážních deliktů, z nichž </w:t>
      </w:r>
      <w:r w:rsidR="00910D14">
        <w:rPr>
          <w:rFonts w:eastAsia="Calibri" w:cstheme="minorHAnsi"/>
          <w:sz w:val="24"/>
          <w:szCs w:val="24"/>
        </w:rPr>
        <w:t xml:space="preserve">se </w:t>
      </w:r>
      <w:r w:rsidR="007B27E1">
        <w:rPr>
          <w:rFonts w:eastAsia="Calibri" w:cstheme="minorHAnsi"/>
          <w:sz w:val="24"/>
          <w:szCs w:val="24"/>
        </w:rPr>
        <w:t xml:space="preserve">ŘSD </w:t>
      </w:r>
      <w:r w:rsidR="004260CD">
        <w:rPr>
          <w:rFonts w:eastAsia="Calibri" w:cstheme="minorHAnsi"/>
          <w:sz w:val="24"/>
          <w:szCs w:val="24"/>
        </w:rPr>
        <w:t xml:space="preserve">podařilo předat příslušné ORP </w:t>
      </w:r>
      <w:r w:rsidR="00910D14">
        <w:rPr>
          <w:rFonts w:eastAsia="Calibri" w:cstheme="minorHAnsi"/>
          <w:sz w:val="24"/>
          <w:szCs w:val="24"/>
        </w:rPr>
        <w:t>pouhých 428</w:t>
      </w:r>
      <w:r w:rsidR="0006643A">
        <w:rPr>
          <w:rFonts w:eastAsia="Calibri" w:cstheme="minorHAnsi"/>
          <w:sz w:val="24"/>
          <w:szCs w:val="24"/>
        </w:rPr>
        <w:t xml:space="preserve">, </w:t>
      </w:r>
      <w:r w:rsidR="00910D14">
        <w:rPr>
          <w:rFonts w:eastAsia="Calibri" w:cstheme="minorHAnsi"/>
          <w:sz w:val="24"/>
          <w:szCs w:val="24"/>
        </w:rPr>
        <w:t xml:space="preserve">tj. zhruba </w:t>
      </w:r>
      <w:r w:rsidR="00164CA0">
        <w:rPr>
          <w:rFonts w:eastAsia="Calibri" w:cstheme="minorHAnsi"/>
          <w:sz w:val="24"/>
          <w:szCs w:val="24"/>
        </w:rPr>
        <w:t>1 %</w:t>
      </w:r>
      <w:r w:rsidR="00910D14">
        <w:rPr>
          <w:rFonts w:eastAsia="Calibri" w:cstheme="minorHAnsi"/>
          <w:sz w:val="24"/>
          <w:szCs w:val="24"/>
        </w:rPr>
        <w:t xml:space="preserve"> případů</w:t>
      </w:r>
      <w:r w:rsidR="003C63F2">
        <w:rPr>
          <w:rFonts w:eastAsia="Calibri" w:cstheme="minorHAnsi"/>
          <w:sz w:val="24"/>
          <w:szCs w:val="24"/>
        </w:rPr>
        <w:t xml:space="preserve">. SFDI </w:t>
      </w:r>
      <w:r w:rsidR="00DA21A8">
        <w:rPr>
          <w:rFonts w:eastAsia="Calibri" w:cstheme="minorHAnsi"/>
          <w:sz w:val="24"/>
          <w:szCs w:val="24"/>
        </w:rPr>
        <w:t>přitom</w:t>
      </w:r>
      <w:r w:rsidR="00914D50">
        <w:rPr>
          <w:rFonts w:eastAsia="Calibri" w:cstheme="minorHAnsi"/>
          <w:sz w:val="24"/>
          <w:szCs w:val="24"/>
        </w:rPr>
        <w:t xml:space="preserve"> </w:t>
      </w:r>
      <w:r w:rsidR="003C63F2">
        <w:rPr>
          <w:rFonts w:eastAsia="Calibri" w:cstheme="minorHAnsi"/>
          <w:sz w:val="24"/>
          <w:szCs w:val="24"/>
        </w:rPr>
        <w:t>od t</w:t>
      </w:r>
      <w:r w:rsidR="005F4141">
        <w:rPr>
          <w:rFonts w:eastAsia="Calibri" w:cstheme="minorHAnsi"/>
          <w:sz w:val="24"/>
          <w:szCs w:val="24"/>
        </w:rPr>
        <w:t>éto</w:t>
      </w:r>
      <w:r w:rsidR="003C63F2">
        <w:rPr>
          <w:rFonts w:eastAsia="Calibri" w:cstheme="minorHAnsi"/>
          <w:sz w:val="24"/>
          <w:szCs w:val="24"/>
        </w:rPr>
        <w:t xml:space="preserve"> ORP neobdržel žádn</w:t>
      </w:r>
      <w:r w:rsidR="0026413C">
        <w:rPr>
          <w:rFonts w:eastAsia="Calibri" w:cstheme="minorHAnsi"/>
          <w:sz w:val="24"/>
          <w:szCs w:val="24"/>
        </w:rPr>
        <w:t xml:space="preserve">ou platbu </w:t>
      </w:r>
      <w:r w:rsidR="003C63F2">
        <w:rPr>
          <w:rFonts w:eastAsia="Calibri" w:cstheme="minorHAnsi"/>
          <w:sz w:val="24"/>
          <w:szCs w:val="24"/>
        </w:rPr>
        <w:t>podíl</w:t>
      </w:r>
      <w:r w:rsidR="0026413C">
        <w:rPr>
          <w:rFonts w:eastAsia="Calibri" w:cstheme="minorHAnsi"/>
          <w:sz w:val="24"/>
          <w:szCs w:val="24"/>
        </w:rPr>
        <w:t>u</w:t>
      </w:r>
      <w:r w:rsidR="003C63F2">
        <w:rPr>
          <w:rFonts w:eastAsia="Calibri" w:cstheme="minorHAnsi"/>
          <w:sz w:val="24"/>
          <w:szCs w:val="24"/>
        </w:rPr>
        <w:t xml:space="preserve"> na vybraných pokutách z</w:t>
      </w:r>
      <w:r w:rsidR="00914D50">
        <w:rPr>
          <w:rFonts w:eastAsia="Calibri" w:cstheme="minorHAnsi"/>
          <w:sz w:val="24"/>
          <w:szCs w:val="24"/>
        </w:rPr>
        <w:t> </w:t>
      </w:r>
      <w:r w:rsidR="003C63F2">
        <w:rPr>
          <w:rFonts w:eastAsia="Calibri" w:cstheme="minorHAnsi"/>
          <w:sz w:val="24"/>
          <w:szCs w:val="24"/>
        </w:rPr>
        <w:t>VKV</w:t>
      </w:r>
      <w:r w:rsidR="00914D50">
        <w:rPr>
          <w:rFonts w:eastAsia="Calibri" w:cstheme="minorHAnsi"/>
          <w:sz w:val="24"/>
          <w:szCs w:val="24"/>
        </w:rPr>
        <w:t>, což</w:t>
      </w:r>
      <w:r w:rsidR="003C63F2">
        <w:rPr>
          <w:rFonts w:eastAsia="Calibri" w:cstheme="minorHAnsi"/>
          <w:sz w:val="24"/>
          <w:szCs w:val="24"/>
        </w:rPr>
        <w:t xml:space="preserve"> svědčí </w:t>
      </w:r>
      <w:r w:rsidR="003C63F2" w:rsidRPr="00A508F5">
        <w:rPr>
          <w:rFonts w:eastAsia="Calibri" w:cstheme="minorHAnsi"/>
          <w:sz w:val="24"/>
          <w:szCs w:val="24"/>
        </w:rPr>
        <w:t xml:space="preserve">o tom, že přestupková řízení </w:t>
      </w:r>
      <w:r w:rsidR="00CA5DEE" w:rsidRPr="00A508F5">
        <w:rPr>
          <w:rFonts w:eastAsia="Calibri" w:cstheme="minorHAnsi"/>
          <w:sz w:val="24"/>
          <w:szCs w:val="24"/>
        </w:rPr>
        <w:t xml:space="preserve">buď </w:t>
      </w:r>
      <w:r w:rsidR="003C63F2" w:rsidRPr="00A508F5">
        <w:rPr>
          <w:rFonts w:eastAsia="Calibri" w:cstheme="minorHAnsi"/>
          <w:sz w:val="24"/>
          <w:szCs w:val="24"/>
        </w:rPr>
        <w:t xml:space="preserve">nebyla </w:t>
      </w:r>
      <w:r w:rsidR="00CA5DEE" w:rsidRPr="00A508F5">
        <w:rPr>
          <w:rFonts w:eastAsia="Calibri" w:cstheme="minorHAnsi"/>
          <w:sz w:val="24"/>
          <w:szCs w:val="24"/>
        </w:rPr>
        <w:t xml:space="preserve">vůbec </w:t>
      </w:r>
      <w:r w:rsidR="003C63F2" w:rsidRPr="00A508F5">
        <w:rPr>
          <w:rFonts w:eastAsia="Calibri" w:cstheme="minorHAnsi"/>
          <w:sz w:val="24"/>
          <w:szCs w:val="24"/>
        </w:rPr>
        <w:t xml:space="preserve">zahájena, nebo </w:t>
      </w:r>
      <w:r w:rsidR="00CA5DEE" w:rsidRPr="00A508F5">
        <w:rPr>
          <w:rFonts w:eastAsia="Calibri" w:cstheme="minorHAnsi"/>
          <w:sz w:val="24"/>
          <w:szCs w:val="24"/>
        </w:rPr>
        <w:t xml:space="preserve">nebyla </w:t>
      </w:r>
      <w:r w:rsidR="003C63F2" w:rsidRPr="00A508F5">
        <w:rPr>
          <w:rFonts w:eastAsia="Calibri" w:cstheme="minorHAnsi"/>
          <w:sz w:val="24"/>
          <w:szCs w:val="24"/>
        </w:rPr>
        <w:t>úspěšně dokončena</w:t>
      </w:r>
      <w:r w:rsidR="00164CA0" w:rsidRPr="00A508F5">
        <w:rPr>
          <w:rFonts w:eastAsia="Calibri" w:cstheme="minorHAnsi"/>
          <w:sz w:val="24"/>
          <w:szCs w:val="24"/>
        </w:rPr>
        <w:t xml:space="preserve"> (viz tabulk</w:t>
      </w:r>
      <w:r w:rsidR="00F42B33" w:rsidRPr="00A508F5">
        <w:rPr>
          <w:rFonts w:eastAsia="Calibri" w:cstheme="minorHAnsi"/>
          <w:sz w:val="24"/>
          <w:szCs w:val="24"/>
        </w:rPr>
        <w:t>y</w:t>
      </w:r>
      <w:r w:rsidR="00164CA0" w:rsidRPr="00A508F5">
        <w:rPr>
          <w:rFonts w:eastAsia="Calibri" w:cstheme="minorHAnsi"/>
          <w:sz w:val="24"/>
          <w:szCs w:val="24"/>
        </w:rPr>
        <w:t xml:space="preserve"> č. </w:t>
      </w:r>
      <w:r w:rsidR="00F42B33" w:rsidRPr="00A508F5">
        <w:rPr>
          <w:rFonts w:eastAsia="Calibri" w:cstheme="minorHAnsi"/>
          <w:sz w:val="24"/>
          <w:szCs w:val="24"/>
        </w:rPr>
        <w:t>5 a č. 6</w:t>
      </w:r>
      <w:r w:rsidR="00164CA0" w:rsidRPr="00A508F5">
        <w:rPr>
          <w:rFonts w:eastAsia="Calibri" w:cstheme="minorHAnsi"/>
          <w:sz w:val="24"/>
          <w:szCs w:val="24"/>
        </w:rPr>
        <w:t>)</w:t>
      </w:r>
      <w:r w:rsidR="003C63F2" w:rsidRPr="00A508F5">
        <w:rPr>
          <w:rFonts w:eastAsia="Calibri" w:cstheme="minorHAnsi"/>
          <w:sz w:val="24"/>
          <w:szCs w:val="24"/>
        </w:rPr>
        <w:t>.</w:t>
      </w:r>
    </w:p>
    <w:p w14:paraId="5C025C19" w14:textId="77777777" w:rsidR="006B5B74" w:rsidRDefault="006B5B74" w:rsidP="00BD4ABD">
      <w:pPr>
        <w:spacing w:after="0" w:line="252" w:lineRule="auto"/>
        <w:contextualSpacing/>
        <w:jc w:val="both"/>
        <w:rPr>
          <w:rFonts w:eastAsia="Calibri" w:cstheme="minorHAnsi"/>
          <w:sz w:val="24"/>
          <w:szCs w:val="24"/>
        </w:rPr>
      </w:pPr>
    </w:p>
    <w:p w14:paraId="61942417" w14:textId="090C5592" w:rsidR="001F06A5" w:rsidRDefault="000F4650" w:rsidP="000002C9">
      <w:pPr>
        <w:spacing w:after="0" w:line="252" w:lineRule="auto"/>
        <w:contextualSpacing/>
        <w:jc w:val="both"/>
        <w:rPr>
          <w:rFonts w:eastAsia="Calibri" w:cstheme="minorHAnsi"/>
          <w:sz w:val="24"/>
          <w:szCs w:val="24"/>
        </w:rPr>
      </w:pPr>
      <w:r>
        <w:rPr>
          <w:rFonts w:eastAsia="Calibri" w:cstheme="minorHAnsi"/>
          <w:sz w:val="24"/>
          <w:szCs w:val="24"/>
        </w:rPr>
        <w:t>4.1</w:t>
      </w:r>
      <w:r w:rsidR="00216774">
        <w:rPr>
          <w:rFonts w:eastAsia="Calibri" w:cstheme="minorHAnsi"/>
          <w:sz w:val="24"/>
          <w:szCs w:val="24"/>
        </w:rPr>
        <w:t>9</w:t>
      </w:r>
      <w:r>
        <w:rPr>
          <w:rFonts w:eastAsia="Calibri" w:cstheme="minorHAnsi"/>
          <w:sz w:val="24"/>
          <w:szCs w:val="24"/>
        </w:rPr>
        <w:t xml:space="preserve"> </w:t>
      </w:r>
      <w:r w:rsidR="001864D5">
        <w:rPr>
          <w:rFonts w:eastAsia="Calibri" w:cstheme="minorHAnsi"/>
          <w:sz w:val="24"/>
          <w:szCs w:val="24"/>
        </w:rPr>
        <w:t xml:space="preserve">V průběhu roku </w:t>
      </w:r>
      <w:r w:rsidR="00F77BFA">
        <w:rPr>
          <w:rFonts w:eastAsia="Calibri" w:cstheme="minorHAnsi"/>
          <w:sz w:val="24"/>
          <w:szCs w:val="24"/>
        </w:rPr>
        <w:t xml:space="preserve">2020 </w:t>
      </w:r>
      <w:r w:rsidR="00F9572F">
        <w:rPr>
          <w:rFonts w:eastAsia="Calibri" w:cstheme="minorHAnsi"/>
          <w:sz w:val="24"/>
          <w:szCs w:val="24"/>
        </w:rPr>
        <w:t>se uskutečnilo</w:t>
      </w:r>
      <w:r w:rsidR="001864D5">
        <w:rPr>
          <w:rFonts w:eastAsia="Calibri" w:cstheme="minorHAnsi"/>
          <w:sz w:val="24"/>
          <w:szCs w:val="24"/>
        </w:rPr>
        <w:t xml:space="preserve"> několik jednání mezi MD a ŘSD, ale uspokojivé řešení problémů bránících </w:t>
      </w:r>
      <w:r w:rsidR="00510883">
        <w:rPr>
          <w:rFonts w:eastAsia="Calibri" w:cstheme="minorHAnsi"/>
          <w:sz w:val="24"/>
          <w:szCs w:val="24"/>
        </w:rPr>
        <w:t>fungování</w:t>
      </w:r>
      <w:r w:rsidR="00443D92">
        <w:rPr>
          <w:rFonts w:eastAsia="Calibri" w:cstheme="minorHAnsi"/>
          <w:sz w:val="24"/>
          <w:szCs w:val="24"/>
        </w:rPr>
        <w:t xml:space="preserve"> VKV nebylo nalezeno. </w:t>
      </w:r>
      <w:r w:rsidR="006B5B74">
        <w:rPr>
          <w:rFonts w:eastAsia="Calibri" w:cstheme="minorHAnsi"/>
          <w:sz w:val="24"/>
          <w:szCs w:val="24"/>
        </w:rPr>
        <w:t>V</w:t>
      </w:r>
      <w:r w:rsidR="00443D92">
        <w:rPr>
          <w:rFonts w:eastAsia="Calibri" w:cstheme="minorHAnsi"/>
          <w:sz w:val="24"/>
          <w:szCs w:val="24"/>
        </w:rPr>
        <w:t> </w:t>
      </w:r>
      <w:r w:rsidR="00620E07">
        <w:rPr>
          <w:rFonts w:eastAsia="Calibri" w:cstheme="minorHAnsi"/>
          <w:sz w:val="24"/>
          <w:szCs w:val="24"/>
        </w:rPr>
        <w:t>březnu</w:t>
      </w:r>
      <w:r w:rsidR="00443D92">
        <w:rPr>
          <w:rFonts w:eastAsia="Calibri" w:cstheme="minorHAnsi"/>
          <w:sz w:val="24"/>
          <w:szCs w:val="24"/>
        </w:rPr>
        <w:t xml:space="preserve"> </w:t>
      </w:r>
      <w:r w:rsidR="00620E07" w:rsidRPr="0033152B">
        <w:rPr>
          <w:rFonts w:eastAsia="Calibri" w:cstheme="minorHAnsi"/>
          <w:sz w:val="24"/>
          <w:szCs w:val="24"/>
        </w:rPr>
        <w:t xml:space="preserve">2021 ŘSD znovu </w:t>
      </w:r>
      <w:r w:rsidR="0033152B" w:rsidRPr="0033152B">
        <w:rPr>
          <w:rFonts w:eastAsia="Calibri" w:cstheme="minorHAnsi"/>
          <w:sz w:val="24"/>
          <w:szCs w:val="24"/>
        </w:rPr>
        <w:t xml:space="preserve">písemně </w:t>
      </w:r>
      <w:r w:rsidR="00620E07" w:rsidRPr="0033152B">
        <w:rPr>
          <w:rFonts w:eastAsia="Calibri" w:cstheme="minorHAnsi"/>
          <w:sz w:val="24"/>
          <w:szCs w:val="24"/>
        </w:rPr>
        <w:t>informovalo MD o přetrvávání problémů se systémem VKV</w:t>
      </w:r>
      <w:r w:rsidR="0033152B" w:rsidRPr="0033152B">
        <w:rPr>
          <w:rFonts w:eastAsia="Calibri" w:cstheme="minorHAnsi"/>
          <w:sz w:val="24"/>
          <w:szCs w:val="24"/>
        </w:rPr>
        <w:t xml:space="preserve">. </w:t>
      </w:r>
      <w:r w:rsidR="0033152B">
        <w:rPr>
          <w:rFonts w:eastAsia="Calibri" w:cstheme="minorHAnsi"/>
          <w:sz w:val="24"/>
          <w:szCs w:val="24"/>
        </w:rPr>
        <w:t>V dopise mj. upozornilo</w:t>
      </w:r>
      <w:r w:rsidR="002B3B09">
        <w:rPr>
          <w:rFonts w:eastAsia="Calibri" w:cstheme="minorHAnsi"/>
          <w:sz w:val="24"/>
          <w:szCs w:val="24"/>
        </w:rPr>
        <w:t xml:space="preserve"> na to</w:t>
      </w:r>
      <w:r w:rsidR="0033152B">
        <w:rPr>
          <w:rFonts w:eastAsia="Calibri" w:cstheme="minorHAnsi"/>
          <w:sz w:val="24"/>
          <w:szCs w:val="24"/>
        </w:rPr>
        <w:t xml:space="preserve">, že váhy </w:t>
      </w:r>
      <w:r w:rsidR="00E57FBD">
        <w:rPr>
          <w:rFonts w:eastAsia="Calibri" w:cstheme="minorHAnsi"/>
          <w:sz w:val="24"/>
          <w:szCs w:val="24"/>
        </w:rPr>
        <w:t xml:space="preserve">pro VKV </w:t>
      </w:r>
      <w:r w:rsidR="0033152B">
        <w:rPr>
          <w:rFonts w:eastAsia="Calibri" w:cstheme="minorHAnsi"/>
          <w:sz w:val="24"/>
          <w:szCs w:val="24"/>
        </w:rPr>
        <w:t xml:space="preserve">zjišťují a dokumentují tisíce vážních deliktů měsíčně, </w:t>
      </w:r>
      <w:r w:rsidR="002B3B09">
        <w:rPr>
          <w:rFonts w:eastAsia="Calibri" w:cstheme="minorHAnsi"/>
          <w:sz w:val="24"/>
          <w:szCs w:val="24"/>
        </w:rPr>
        <w:t>avšak</w:t>
      </w:r>
      <w:r w:rsidR="0033152B">
        <w:rPr>
          <w:rFonts w:eastAsia="Calibri" w:cstheme="minorHAnsi"/>
          <w:sz w:val="24"/>
          <w:szCs w:val="24"/>
        </w:rPr>
        <w:t xml:space="preserve"> vážní lístky se nedaří předávat příslušným ORP</w:t>
      </w:r>
      <w:r w:rsidR="00EB299D">
        <w:rPr>
          <w:rFonts w:eastAsia="Calibri" w:cstheme="minorHAnsi"/>
          <w:sz w:val="24"/>
          <w:szCs w:val="24"/>
        </w:rPr>
        <w:t>,</w:t>
      </w:r>
      <w:r w:rsidR="00272AE3">
        <w:rPr>
          <w:rFonts w:eastAsia="Calibri" w:cstheme="minorHAnsi"/>
          <w:sz w:val="24"/>
          <w:szCs w:val="24"/>
        </w:rPr>
        <w:t xml:space="preserve"> a přestupky t</w:t>
      </w:r>
      <w:r w:rsidR="002B3B09">
        <w:rPr>
          <w:rFonts w:eastAsia="Calibri" w:cstheme="minorHAnsi"/>
          <w:sz w:val="24"/>
          <w:szCs w:val="24"/>
        </w:rPr>
        <w:t>ak</w:t>
      </w:r>
      <w:r w:rsidR="00272AE3">
        <w:rPr>
          <w:rFonts w:eastAsia="Calibri" w:cstheme="minorHAnsi"/>
          <w:sz w:val="24"/>
          <w:szCs w:val="24"/>
        </w:rPr>
        <w:t xml:space="preserve"> nikdo neřeší. </w:t>
      </w:r>
      <w:r w:rsidR="00DF796B">
        <w:rPr>
          <w:rFonts w:eastAsia="Calibri" w:cstheme="minorHAnsi"/>
          <w:sz w:val="24"/>
          <w:szCs w:val="24"/>
        </w:rPr>
        <w:t>Za n</w:t>
      </w:r>
      <w:r w:rsidR="00DF796B" w:rsidRPr="00DF796B">
        <w:rPr>
          <w:rFonts w:eastAsia="Calibri" w:cstheme="minorHAnsi"/>
          <w:sz w:val="24"/>
          <w:szCs w:val="24"/>
        </w:rPr>
        <w:t xml:space="preserve">evyhnutelnou </w:t>
      </w:r>
      <w:r w:rsidR="00DF796B">
        <w:rPr>
          <w:rFonts w:eastAsia="Calibri" w:cstheme="minorHAnsi"/>
          <w:sz w:val="24"/>
          <w:szCs w:val="24"/>
        </w:rPr>
        <w:t xml:space="preserve">proto ŘSD </w:t>
      </w:r>
      <w:r w:rsidR="00DF796B" w:rsidRPr="00DF796B">
        <w:rPr>
          <w:rFonts w:eastAsia="Calibri" w:cstheme="minorHAnsi"/>
          <w:sz w:val="24"/>
          <w:szCs w:val="24"/>
        </w:rPr>
        <w:t>považ</w:t>
      </w:r>
      <w:r w:rsidR="00DF796B">
        <w:rPr>
          <w:rFonts w:eastAsia="Calibri" w:cstheme="minorHAnsi"/>
          <w:sz w:val="24"/>
          <w:szCs w:val="24"/>
        </w:rPr>
        <w:t>ovalo</w:t>
      </w:r>
      <w:r w:rsidR="00DF796B" w:rsidRPr="00DF796B">
        <w:rPr>
          <w:rFonts w:eastAsia="Calibri" w:cstheme="minorHAnsi"/>
          <w:sz w:val="24"/>
          <w:szCs w:val="24"/>
        </w:rPr>
        <w:t xml:space="preserve"> maximální možnou automatizaci procesu zpracování vážních deliktů</w:t>
      </w:r>
      <w:r w:rsidR="000002C9">
        <w:rPr>
          <w:rFonts w:eastAsia="Calibri" w:cstheme="minorHAnsi"/>
          <w:sz w:val="24"/>
          <w:szCs w:val="24"/>
        </w:rPr>
        <w:t>, k níž ale nedošlo.</w:t>
      </w:r>
      <w:r w:rsidR="00B845B8">
        <w:rPr>
          <w:rFonts w:eastAsia="Calibri" w:cstheme="minorHAnsi"/>
          <w:sz w:val="24"/>
          <w:szCs w:val="24"/>
        </w:rPr>
        <w:t xml:space="preserve"> </w:t>
      </w:r>
    </w:p>
    <w:p w14:paraId="0B396D9C" w14:textId="77777777" w:rsidR="00430506" w:rsidRDefault="00430506" w:rsidP="000002C9">
      <w:pPr>
        <w:spacing w:after="0" w:line="252" w:lineRule="auto"/>
        <w:contextualSpacing/>
        <w:jc w:val="both"/>
        <w:rPr>
          <w:rFonts w:eastAsia="Calibri" w:cstheme="minorHAnsi"/>
          <w:sz w:val="24"/>
          <w:szCs w:val="24"/>
        </w:rPr>
      </w:pPr>
    </w:p>
    <w:p w14:paraId="352EB8B0" w14:textId="77777777" w:rsidR="000002C9" w:rsidRPr="002F35D4" w:rsidRDefault="00951F0E" w:rsidP="00C1024C">
      <w:pPr>
        <w:pStyle w:val="Odstavecseseznamem"/>
        <w:numPr>
          <w:ilvl w:val="0"/>
          <w:numId w:val="37"/>
        </w:numPr>
        <w:spacing w:after="0" w:line="252" w:lineRule="auto"/>
        <w:jc w:val="both"/>
        <w:rPr>
          <w:rFonts w:ascii="Calibri" w:eastAsia="Aptos" w:hAnsi="Calibri" w:cs="Calibri"/>
          <w:sz w:val="24"/>
          <w:szCs w:val="24"/>
        </w:rPr>
      </w:pPr>
      <w:r w:rsidRPr="002F35D4">
        <w:rPr>
          <w:rFonts w:eastAsia="Calibri" w:cstheme="minorHAnsi"/>
          <w:b/>
          <w:i/>
          <w:color w:val="4472C4" w:themeColor="accent5"/>
          <w:sz w:val="24"/>
          <w:szCs w:val="24"/>
        </w:rPr>
        <w:t>Váhy pro VKV byly často mimo provoz</w:t>
      </w:r>
      <w:r w:rsidR="002F35D4">
        <w:rPr>
          <w:rFonts w:eastAsia="Calibri" w:cstheme="minorHAnsi"/>
          <w:b/>
          <w:i/>
          <w:color w:val="4472C4" w:themeColor="accent5"/>
          <w:sz w:val="24"/>
          <w:szCs w:val="24"/>
        </w:rPr>
        <w:t xml:space="preserve"> ...</w:t>
      </w:r>
    </w:p>
    <w:p w14:paraId="5C70088F" w14:textId="77777777" w:rsidR="002F35D4" w:rsidRPr="002F35D4" w:rsidRDefault="002F35D4" w:rsidP="002F35D4">
      <w:pPr>
        <w:pStyle w:val="Odstavecseseznamem"/>
        <w:spacing w:after="0" w:line="252" w:lineRule="auto"/>
        <w:ind w:left="360"/>
        <w:jc w:val="both"/>
        <w:rPr>
          <w:rFonts w:ascii="Calibri" w:eastAsia="Aptos" w:hAnsi="Calibri" w:cs="Calibri"/>
          <w:sz w:val="24"/>
          <w:szCs w:val="24"/>
        </w:rPr>
      </w:pPr>
    </w:p>
    <w:p w14:paraId="510540DF" w14:textId="393B6615" w:rsidR="009B2675" w:rsidRDefault="00951F0E" w:rsidP="009B30C2">
      <w:pPr>
        <w:spacing w:after="0" w:line="252" w:lineRule="auto"/>
        <w:contextualSpacing/>
        <w:jc w:val="both"/>
        <w:rPr>
          <w:rFonts w:cstheme="minorHAnsi"/>
          <w:sz w:val="24"/>
          <w:szCs w:val="24"/>
        </w:rPr>
      </w:pPr>
      <w:r w:rsidRPr="00951F0E">
        <w:rPr>
          <w:rFonts w:ascii="Calibri" w:eastAsia="Aptos" w:hAnsi="Calibri" w:cs="Calibri"/>
          <w:sz w:val="24"/>
          <w:szCs w:val="24"/>
        </w:rPr>
        <w:t>4.</w:t>
      </w:r>
      <w:r w:rsidR="00216774">
        <w:rPr>
          <w:rFonts w:ascii="Calibri" w:eastAsia="Aptos" w:hAnsi="Calibri" w:cs="Calibri"/>
          <w:sz w:val="24"/>
          <w:szCs w:val="24"/>
        </w:rPr>
        <w:t>20</w:t>
      </w:r>
      <w:r w:rsidR="009B30C2">
        <w:rPr>
          <w:rFonts w:ascii="Calibri" w:eastAsia="Aptos" w:hAnsi="Calibri" w:cs="Calibri"/>
          <w:sz w:val="24"/>
          <w:szCs w:val="24"/>
        </w:rPr>
        <w:t xml:space="preserve"> </w:t>
      </w:r>
      <w:r w:rsidR="009A3E29">
        <w:rPr>
          <w:rFonts w:ascii="Calibri" w:eastAsia="Aptos" w:hAnsi="Calibri" w:cs="Calibri"/>
          <w:sz w:val="24"/>
          <w:szCs w:val="24"/>
        </w:rPr>
        <w:t xml:space="preserve">NKÚ zjišťoval a vyhodnocoval, v jakém časovém rozsahu váhy </w:t>
      </w:r>
      <w:r w:rsidR="00F857A8">
        <w:rPr>
          <w:rFonts w:ascii="Calibri" w:eastAsia="Aptos" w:hAnsi="Calibri" w:cs="Calibri"/>
          <w:sz w:val="24"/>
          <w:szCs w:val="24"/>
        </w:rPr>
        <w:t xml:space="preserve">pro </w:t>
      </w:r>
      <w:r w:rsidR="009A3E29">
        <w:rPr>
          <w:rFonts w:ascii="Calibri" w:eastAsia="Aptos" w:hAnsi="Calibri" w:cs="Calibri"/>
          <w:sz w:val="24"/>
          <w:szCs w:val="24"/>
        </w:rPr>
        <w:t xml:space="preserve">VKV plnily </w:t>
      </w:r>
      <w:r w:rsidR="00F857A8">
        <w:rPr>
          <w:rFonts w:eastAsia="Calibri" w:cstheme="minorHAnsi"/>
          <w:sz w:val="24"/>
          <w:szCs w:val="24"/>
        </w:rPr>
        <w:t>určené úkoly a kolik z</w:t>
      </w:r>
      <w:r w:rsidR="00373A81">
        <w:rPr>
          <w:rFonts w:eastAsia="Calibri" w:cstheme="minorHAnsi"/>
          <w:sz w:val="24"/>
          <w:szCs w:val="24"/>
        </w:rPr>
        <w:t xml:space="preserve"> jimi</w:t>
      </w:r>
      <w:r w:rsidR="00F857A8">
        <w:rPr>
          <w:rFonts w:eastAsia="Calibri" w:cstheme="minorHAnsi"/>
          <w:sz w:val="24"/>
          <w:szCs w:val="24"/>
        </w:rPr>
        <w:t xml:space="preserve"> zjištěných vážních deliktů </w:t>
      </w:r>
      <w:r w:rsidR="00EB299D">
        <w:rPr>
          <w:rFonts w:eastAsia="Calibri" w:cstheme="minorHAnsi"/>
          <w:sz w:val="24"/>
          <w:szCs w:val="24"/>
        </w:rPr>
        <w:t xml:space="preserve">předalo </w:t>
      </w:r>
      <w:r w:rsidR="00F857A8">
        <w:rPr>
          <w:rFonts w:eastAsia="Calibri" w:cstheme="minorHAnsi"/>
          <w:sz w:val="24"/>
          <w:szCs w:val="24"/>
        </w:rPr>
        <w:t xml:space="preserve">ŘSD k dalšímu řešení příslušným ORP. </w:t>
      </w:r>
    </w:p>
    <w:p w14:paraId="51968C91" w14:textId="77777777" w:rsidR="00E23B9A" w:rsidRDefault="00E23B9A" w:rsidP="009B30C2">
      <w:pPr>
        <w:spacing w:after="0" w:line="252" w:lineRule="auto"/>
        <w:contextualSpacing/>
        <w:jc w:val="both"/>
        <w:rPr>
          <w:rFonts w:ascii="Calibri" w:eastAsia="Aptos" w:hAnsi="Calibri" w:cs="Calibri"/>
          <w:sz w:val="24"/>
          <w:szCs w:val="24"/>
        </w:rPr>
      </w:pPr>
    </w:p>
    <w:p w14:paraId="179B838D" w14:textId="0AF06C13" w:rsidR="00612D64" w:rsidRPr="00052107" w:rsidRDefault="00907347" w:rsidP="009B30C2">
      <w:pPr>
        <w:spacing w:after="0" w:line="252" w:lineRule="auto"/>
        <w:contextualSpacing/>
        <w:jc w:val="both"/>
        <w:rPr>
          <w:rFonts w:ascii="Calibri" w:eastAsia="Aptos" w:hAnsi="Calibri" w:cs="Calibri"/>
          <w:sz w:val="24"/>
          <w:szCs w:val="24"/>
        </w:rPr>
      </w:pPr>
      <w:r>
        <w:rPr>
          <w:rFonts w:ascii="Calibri" w:eastAsia="Aptos" w:hAnsi="Calibri" w:cs="Calibri"/>
          <w:sz w:val="24"/>
          <w:szCs w:val="24"/>
        </w:rPr>
        <w:t>4.</w:t>
      </w:r>
      <w:r w:rsidR="004A09F6">
        <w:rPr>
          <w:rFonts w:ascii="Calibri" w:eastAsia="Aptos" w:hAnsi="Calibri" w:cs="Calibri"/>
          <w:sz w:val="24"/>
          <w:szCs w:val="24"/>
        </w:rPr>
        <w:t>2</w:t>
      </w:r>
      <w:r w:rsidR="00216774">
        <w:rPr>
          <w:rFonts w:ascii="Calibri" w:eastAsia="Aptos" w:hAnsi="Calibri" w:cs="Calibri"/>
          <w:sz w:val="24"/>
          <w:szCs w:val="24"/>
        </w:rPr>
        <w:t>1</w:t>
      </w:r>
      <w:r>
        <w:rPr>
          <w:rFonts w:ascii="Calibri" w:eastAsia="Aptos" w:hAnsi="Calibri" w:cs="Calibri"/>
          <w:sz w:val="24"/>
          <w:szCs w:val="24"/>
        </w:rPr>
        <w:t xml:space="preserve"> </w:t>
      </w:r>
      <w:r w:rsidR="00EB299D">
        <w:rPr>
          <w:rFonts w:ascii="Calibri" w:eastAsia="Aptos" w:hAnsi="Calibri" w:cs="Calibri"/>
          <w:sz w:val="24"/>
          <w:szCs w:val="24"/>
        </w:rPr>
        <w:t>Provoz</w:t>
      </w:r>
      <w:r w:rsidR="00373A81">
        <w:rPr>
          <w:rFonts w:ascii="Calibri" w:eastAsia="Aptos" w:hAnsi="Calibri" w:cs="Calibri"/>
          <w:sz w:val="24"/>
          <w:szCs w:val="24"/>
        </w:rPr>
        <w:t xml:space="preserve"> vah pro VKV provázely technické obtíže</w:t>
      </w:r>
      <w:r w:rsidR="00151119">
        <w:rPr>
          <w:rFonts w:ascii="Calibri" w:eastAsia="Aptos" w:hAnsi="Calibri" w:cs="Calibri"/>
          <w:sz w:val="24"/>
          <w:szCs w:val="24"/>
        </w:rPr>
        <w:t>,</w:t>
      </w:r>
      <w:r w:rsidR="00373A81">
        <w:rPr>
          <w:rFonts w:ascii="Calibri" w:eastAsia="Aptos" w:hAnsi="Calibri" w:cs="Calibri"/>
          <w:sz w:val="24"/>
          <w:szCs w:val="24"/>
        </w:rPr>
        <w:t xml:space="preserve"> které </w:t>
      </w:r>
      <w:r w:rsidR="00151119">
        <w:rPr>
          <w:rFonts w:ascii="Calibri" w:eastAsia="Aptos" w:hAnsi="Calibri" w:cs="Calibri"/>
          <w:sz w:val="24"/>
          <w:szCs w:val="24"/>
        </w:rPr>
        <w:t xml:space="preserve">často </w:t>
      </w:r>
      <w:r w:rsidR="00373A81">
        <w:rPr>
          <w:rFonts w:ascii="Calibri" w:eastAsia="Aptos" w:hAnsi="Calibri" w:cs="Calibri"/>
          <w:sz w:val="24"/>
          <w:szCs w:val="24"/>
        </w:rPr>
        <w:t xml:space="preserve">vedly </w:t>
      </w:r>
      <w:r w:rsidR="00151119">
        <w:rPr>
          <w:rFonts w:ascii="Calibri" w:eastAsia="Aptos" w:hAnsi="Calibri" w:cs="Calibri"/>
          <w:sz w:val="24"/>
          <w:szCs w:val="24"/>
        </w:rPr>
        <w:t>k jejich odstavení.</w:t>
      </w:r>
      <w:r w:rsidR="00652717">
        <w:rPr>
          <w:rFonts w:ascii="Calibri" w:eastAsia="Aptos" w:hAnsi="Calibri" w:cs="Calibri"/>
          <w:sz w:val="24"/>
          <w:szCs w:val="24"/>
        </w:rPr>
        <w:t xml:space="preserve"> </w:t>
      </w:r>
      <w:r w:rsidR="005E128D">
        <w:rPr>
          <w:rFonts w:ascii="Calibri" w:eastAsia="Aptos" w:hAnsi="Calibri" w:cs="Calibri"/>
          <w:sz w:val="24"/>
          <w:szCs w:val="24"/>
        </w:rPr>
        <w:t xml:space="preserve">Jednalo se o </w:t>
      </w:r>
      <w:r w:rsidR="005E128D" w:rsidRPr="005E128D">
        <w:rPr>
          <w:rFonts w:ascii="Calibri" w:eastAsia="Aptos" w:hAnsi="Calibri" w:cs="Calibri"/>
          <w:sz w:val="24"/>
          <w:szCs w:val="24"/>
        </w:rPr>
        <w:t xml:space="preserve">závady na senzorech, výpadky napájení apod. </w:t>
      </w:r>
      <w:r w:rsidR="00151119">
        <w:rPr>
          <w:rFonts w:ascii="Calibri" w:eastAsia="Aptos" w:hAnsi="Calibri" w:cs="Calibri"/>
          <w:sz w:val="24"/>
          <w:szCs w:val="24"/>
        </w:rPr>
        <w:t xml:space="preserve">Jako problematické se </w:t>
      </w:r>
      <w:r w:rsidR="00151119" w:rsidRPr="00052107">
        <w:rPr>
          <w:rFonts w:ascii="Calibri" w:eastAsia="Aptos" w:hAnsi="Calibri" w:cs="Calibri"/>
          <w:sz w:val="24"/>
          <w:szCs w:val="24"/>
        </w:rPr>
        <w:t xml:space="preserve">ukázalo </w:t>
      </w:r>
      <w:r w:rsidR="00FA36EA" w:rsidRPr="00052107">
        <w:rPr>
          <w:rFonts w:ascii="Calibri" w:eastAsia="Aptos" w:hAnsi="Calibri" w:cs="Calibri"/>
          <w:sz w:val="24"/>
          <w:szCs w:val="24"/>
        </w:rPr>
        <w:t>i</w:t>
      </w:r>
      <w:r w:rsidR="00D947B6">
        <w:rPr>
          <w:rFonts w:ascii="Calibri" w:eastAsia="Aptos" w:hAnsi="Calibri" w:cs="Calibri"/>
          <w:sz w:val="24"/>
          <w:szCs w:val="24"/>
        </w:rPr>
        <w:t> </w:t>
      </w:r>
      <w:r w:rsidR="00151119" w:rsidRPr="00052107">
        <w:rPr>
          <w:rFonts w:ascii="Calibri" w:eastAsia="Aptos" w:hAnsi="Calibri" w:cs="Calibri"/>
          <w:sz w:val="24"/>
          <w:szCs w:val="24"/>
        </w:rPr>
        <w:t xml:space="preserve">splnění všech </w:t>
      </w:r>
      <w:r w:rsidR="00151119" w:rsidRPr="00052107">
        <w:rPr>
          <w:rFonts w:cstheme="minorHAnsi"/>
          <w:sz w:val="24"/>
          <w:szCs w:val="24"/>
        </w:rPr>
        <w:t xml:space="preserve">metrologických a technických požadavků vyplývajících z tzv. opatření obecné </w:t>
      </w:r>
      <w:r w:rsidR="00151119" w:rsidRPr="00052107">
        <w:rPr>
          <w:rFonts w:ascii="Calibri" w:eastAsia="Aptos" w:hAnsi="Calibri" w:cs="Calibri"/>
          <w:sz w:val="24"/>
          <w:szCs w:val="24"/>
        </w:rPr>
        <w:t xml:space="preserve">povahy vydaného Českým metrologickým institutem. </w:t>
      </w:r>
      <w:r w:rsidR="00612D64" w:rsidRPr="00052107">
        <w:rPr>
          <w:rFonts w:ascii="Calibri" w:eastAsia="Aptos" w:hAnsi="Calibri" w:cs="Calibri"/>
          <w:sz w:val="24"/>
          <w:szCs w:val="24"/>
        </w:rPr>
        <w:t>Opatření účinné od října 2016 stanovilo</w:t>
      </w:r>
      <w:r w:rsidR="00176072" w:rsidRPr="00052107">
        <w:rPr>
          <w:rFonts w:ascii="Calibri" w:eastAsia="Aptos" w:hAnsi="Calibri" w:cs="Calibri"/>
          <w:sz w:val="24"/>
          <w:szCs w:val="24"/>
        </w:rPr>
        <w:t xml:space="preserve"> </w:t>
      </w:r>
      <w:r w:rsidR="00612D64" w:rsidRPr="00052107">
        <w:rPr>
          <w:rFonts w:ascii="Calibri" w:eastAsia="Aptos" w:hAnsi="Calibri" w:cs="Calibri"/>
          <w:sz w:val="24"/>
          <w:szCs w:val="24"/>
        </w:rPr>
        <w:t xml:space="preserve">na vlastnosti vozovky v místě měření i </w:t>
      </w:r>
      <w:r w:rsidR="00EB299D">
        <w:rPr>
          <w:rFonts w:ascii="Calibri" w:eastAsia="Aptos" w:hAnsi="Calibri" w:cs="Calibri"/>
          <w:sz w:val="24"/>
          <w:szCs w:val="24"/>
        </w:rPr>
        <w:t xml:space="preserve">na </w:t>
      </w:r>
      <w:r w:rsidR="00612D64" w:rsidRPr="00052107">
        <w:rPr>
          <w:rFonts w:ascii="Calibri" w:eastAsia="Aptos" w:hAnsi="Calibri" w:cs="Calibri"/>
          <w:sz w:val="24"/>
          <w:szCs w:val="24"/>
        </w:rPr>
        <w:t>přesnost vah pro VKV</w:t>
      </w:r>
      <w:r w:rsidR="00EB299D">
        <w:rPr>
          <w:rFonts w:ascii="Calibri" w:eastAsia="Aptos" w:hAnsi="Calibri" w:cs="Calibri"/>
          <w:sz w:val="24"/>
          <w:szCs w:val="24"/>
        </w:rPr>
        <w:t xml:space="preserve"> takové </w:t>
      </w:r>
      <w:r w:rsidR="00EB299D" w:rsidRPr="00052107">
        <w:rPr>
          <w:rFonts w:ascii="Calibri" w:eastAsia="Aptos" w:hAnsi="Calibri" w:cs="Calibri"/>
          <w:sz w:val="24"/>
          <w:szCs w:val="24"/>
        </w:rPr>
        <w:t>požadavky</w:t>
      </w:r>
      <w:r w:rsidR="00612D64" w:rsidRPr="00052107">
        <w:rPr>
          <w:rFonts w:ascii="Calibri" w:eastAsia="Aptos" w:hAnsi="Calibri" w:cs="Calibri"/>
          <w:sz w:val="24"/>
          <w:szCs w:val="24"/>
        </w:rPr>
        <w:t xml:space="preserve">, které ŘSD </w:t>
      </w:r>
      <w:r w:rsidR="009A4601" w:rsidRPr="00052107">
        <w:rPr>
          <w:rFonts w:ascii="Calibri" w:eastAsia="Aptos" w:hAnsi="Calibri" w:cs="Calibri"/>
          <w:sz w:val="24"/>
          <w:szCs w:val="24"/>
        </w:rPr>
        <w:t xml:space="preserve">jen </w:t>
      </w:r>
      <w:r w:rsidR="00612D64" w:rsidRPr="00052107">
        <w:rPr>
          <w:rFonts w:ascii="Calibri" w:eastAsia="Aptos" w:hAnsi="Calibri" w:cs="Calibri"/>
          <w:sz w:val="24"/>
          <w:szCs w:val="24"/>
        </w:rPr>
        <w:t>obtížn</w:t>
      </w:r>
      <w:r w:rsidR="00EB299D">
        <w:rPr>
          <w:rFonts w:ascii="Calibri" w:eastAsia="Aptos" w:hAnsi="Calibri" w:cs="Calibri"/>
          <w:sz w:val="24"/>
          <w:szCs w:val="24"/>
        </w:rPr>
        <w:t>ě</w:t>
      </w:r>
      <w:r w:rsidR="00612D64" w:rsidRPr="00052107">
        <w:rPr>
          <w:rFonts w:ascii="Calibri" w:eastAsia="Aptos" w:hAnsi="Calibri" w:cs="Calibri"/>
          <w:sz w:val="24"/>
          <w:szCs w:val="24"/>
        </w:rPr>
        <w:t xml:space="preserve"> zaji</w:t>
      </w:r>
      <w:r w:rsidR="009A4601" w:rsidRPr="00052107">
        <w:rPr>
          <w:rFonts w:ascii="Calibri" w:eastAsia="Aptos" w:hAnsi="Calibri" w:cs="Calibri"/>
          <w:sz w:val="24"/>
          <w:szCs w:val="24"/>
        </w:rPr>
        <w:t>šťovalo</w:t>
      </w:r>
      <w:r w:rsidR="00612D64" w:rsidRPr="00052107">
        <w:rPr>
          <w:rFonts w:ascii="Calibri" w:eastAsia="Aptos" w:hAnsi="Calibri" w:cs="Calibri"/>
          <w:sz w:val="24"/>
          <w:szCs w:val="24"/>
        </w:rPr>
        <w:t xml:space="preserve"> </w:t>
      </w:r>
      <w:r w:rsidR="00EB299D">
        <w:rPr>
          <w:rFonts w:ascii="Calibri" w:eastAsia="Aptos" w:hAnsi="Calibri" w:cs="Calibri"/>
          <w:sz w:val="24"/>
          <w:szCs w:val="24"/>
        </w:rPr>
        <w:t xml:space="preserve">již </w:t>
      </w:r>
      <w:r w:rsidR="00612D64" w:rsidRPr="00052107">
        <w:rPr>
          <w:rFonts w:ascii="Calibri" w:eastAsia="Aptos" w:hAnsi="Calibri" w:cs="Calibri"/>
          <w:sz w:val="24"/>
          <w:szCs w:val="24"/>
        </w:rPr>
        <w:t xml:space="preserve">před zprovozněním </w:t>
      </w:r>
      <w:proofErr w:type="gramStart"/>
      <w:r w:rsidR="00612D64" w:rsidRPr="00052107">
        <w:rPr>
          <w:rFonts w:ascii="Calibri" w:eastAsia="Aptos" w:hAnsi="Calibri" w:cs="Calibri"/>
          <w:sz w:val="24"/>
          <w:szCs w:val="24"/>
        </w:rPr>
        <w:t>vah</w:t>
      </w:r>
      <w:proofErr w:type="gramEnd"/>
      <w:r w:rsidR="00612D64" w:rsidRPr="00052107">
        <w:rPr>
          <w:rFonts w:ascii="Calibri" w:eastAsia="Aptos" w:hAnsi="Calibri" w:cs="Calibri"/>
          <w:sz w:val="24"/>
          <w:szCs w:val="24"/>
        </w:rPr>
        <w:t xml:space="preserve"> </w:t>
      </w:r>
      <w:r w:rsidR="00EB299D">
        <w:rPr>
          <w:rFonts w:ascii="Calibri" w:eastAsia="Aptos" w:hAnsi="Calibri" w:cs="Calibri"/>
          <w:sz w:val="24"/>
          <w:szCs w:val="24"/>
        </w:rPr>
        <w:t xml:space="preserve">a ještě obtížněji </w:t>
      </w:r>
      <w:r w:rsidR="00612D64" w:rsidRPr="00052107">
        <w:rPr>
          <w:rFonts w:ascii="Calibri" w:eastAsia="Aptos" w:hAnsi="Calibri" w:cs="Calibri"/>
          <w:sz w:val="24"/>
          <w:szCs w:val="24"/>
        </w:rPr>
        <w:t>při jejich provoz</w:t>
      </w:r>
      <w:r w:rsidR="00EB299D">
        <w:rPr>
          <w:rFonts w:ascii="Calibri" w:eastAsia="Aptos" w:hAnsi="Calibri" w:cs="Calibri"/>
          <w:sz w:val="24"/>
          <w:szCs w:val="24"/>
        </w:rPr>
        <w:t>ování</w:t>
      </w:r>
      <w:r w:rsidR="00612D64" w:rsidRPr="00052107">
        <w:rPr>
          <w:rFonts w:ascii="Calibri" w:eastAsia="Aptos" w:hAnsi="Calibri" w:cs="Calibri"/>
          <w:sz w:val="24"/>
          <w:szCs w:val="24"/>
        </w:rPr>
        <w:t>. Zmírnění požadavků přineslo až nově vydané opatření s účinností od konce února 2024</w:t>
      </w:r>
      <w:r w:rsidR="00176072" w:rsidRPr="00052107">
        <w:rPr>
          <w:rStyle w:val="Znakapoznpodarou"/>
          <w:rFonts w:ascii="Calibri" w:eastAsia="Aptos" w:hAnsi="Calibri" w:cs="Calibri"/>
          <w:sz w:val="24"/>
          <w:szCs w:val="24"/>
        </w:rPr>
        <w:footnoteReference w:id="30"/>
      </w:r>
      <w:r w:rsidR="00612D64" w:rsidRPr="00052107">
        <w:rPr>
          <w:rFonts w:ascii="Calibri" w:eastAsia="Aptos" w:hAnsi="Calibri" w:cs="Calibri"/>
          <w:sz w:val="24"/>
          <w:szCs w:val="24"/>
        </w:rPr>
        <w:t>.</w:t>
      </w:r>
    </w:p>
    <w:p w14:paraId="441268C7" w14:textId="77777777" w:rsidR="0076578F" w:rsidRPr="00052107" w:rsidRDefault="0076578F" w:rsidP="009B30C2">
      <w:pPr>
        <w:spacing w:after="0" w:line="252" w:lineRule="auto"/>
        <w:contextualSpacing/>
        <w:jc w:val="both"/>
        <w:rPr>
          <w:rFonts w:ascii="Calibri" w:eastAsia="Aptos" w:hAnsi="Calibri" w:cs="Calibri"/>
          <w:sz w:val="24"/>
          <w:szCs w:val="24"/>
        </w:rPr>
      </w:pPr>
    </w:p>
    <w:p w14:paraId="114A68BF" w14:textId="3DF91224" w:rsidR="00D95B87" w:rsidRPr="00052107" w:rsidRDefault="0076578F" w:rsidP="00D95B87">
      <w:pPr>
        <w:spacing w:line="252" w:lineRule="auto"/>
        <w:contextualSpacing/>
        <w:jc w:val="both"/>
        <w:rPr>
          <w:rFonts w:cstheme="minorHAnsi"/>
          <w:sz w:val="24"/>
          <w:szCs w:val="24"/>
        </w:rPr>
      </w:pPr>
      <w:r w:rsidRPr="00052107">
        <w:rPr>
          <w:rFonts w:ascii="Calibri" w:eastAsia="Aptos" w:hAnsi="Calibri" w:cs="Calibri"/>
          <w:sz w:val="24"/>
          <w:szCs w:val="24"/>
        </w:rPr>
        <w:t>4.2</w:t>
      </w:r>
      <w:r w:rsidR="00216774" w:rsidRPr="00052107">
        <w:rPr>
          <w:rFonts w:ascii="Calibri" w:eastAsia="Aptos" w:hAnsi="Calibri" w:cs="Calibri"/>
          <w:sz w:val="24"/>
          <w:szCs w:val="24"/>
        </w:rPr>
        <w:t>2</w:t>
      </w:r>
      <w:r w:rsidRPr="00052107">
        <w:rPr>
          <w:rFonts w:ascii="Calibri" w:eastAsia="Aptos" w:hAnsi="Calibri" w:cs="Calibri"/>
          <w:sz w:val="24"/>
          <w:szCs w:val="24"/>
        </w:rPr>
        <w:t xml:space="preserve"> </w:t>
      </w:r>
      <w:r w:rsidR="00FA36EA" w:rsidRPr="00052107">
        <w:rPr>
          <w:rFonts w:cstheme="minorHAnsi"/>
          <w:sz w:val="24"/>
          <w:szCs w:val="24"/>
        </w:rPr>
        <w:t>P</w:t>
      </w:r>
      <w:r w:rsidR="00D95B87" w:rsidRPr="00052107">
        <w:rPr>
          <w:rFonts w:cstheme="minorHAnsi"/>
          <w:sz w:val="24"/>
          <w:szCs w:val="24"/>
        </w:rPr>
        <w:t xml:space="preserve">rovozuschopnost vah pro VKV </w:t>
      </w:r>
      <w:r w:rsidR="00FA36EA" w:rsidRPr="00052107">
        <w:rPr>
          <w:rFonts w:cstheme="minorHAnsi"/>
          <w:sz w:val="24"/>
          <w:szCs w:val="24"/>
        </w:rPr>
        <w:t>byla problematická i</w:t>
      </w:r>
      <w:r w:rsidR="00D95B87" w:rsidRPr="00052107">
        <w:rPr>
          <w:rFonts w:cstheme="minorHAnsi"/>
          <w:sz w:val="24"/>
          <w:szCs w:val="24"/>
        </w:rPr>
        <w:t xml:space="preserve"> v roce 2024. V červnu 2024 byly v provozu čtyři váhy pro VKV</w:t>
      </w:r>
      <w:r w:rsidR="00804D5F">
        <w:rPr>
          <w:rFonts w:cstheme="minorHAnsi"/>
          <w:sz w:val="24"/>
          <w:szCs w:val="24"/>
        </w:rPr>
        <w:t xml:space="preserve"> (na dálnicích</w:t>
      </w:r>
      <w:r w:rsidR="00D947B6">
        <w:rPr>
          <w:rFonts w:cstheme="minorHAnsi"/>
          <w:sz w:val="24"/>
          <w:szCs w:val="24"/>
        </w:rPr>
        <w:t>:</w:t>
      </w:r>
      <w:r w:rsidR="00804D5F">
        <w:rPr>
          <w:rFonts w:cstheme="minorHAnsi"/>
          <w:sz w:val="24"/>
          <w:szCs w:val="24"/>
        </w:rPr>
        <w:t xml:space="preserve"> D1 </w:t>
      </w:r>
      <w:r w:rsidR="00D947B6">
        <w:rPr>
          <w:rFonts w:cstheme="minorHAnsi"/>
          <w:sz w:val="24"/>
          <w:szCs w:val="24"/>
        </w:rPr>
        <w:t xml:space="preserve">– </w:t>
      </w:r>
      <w:r w:rsidR="00804D5F">
        <w:rPr>
          <w:rFonts w:cstheme="minorHAnsi"/>
          <w:sz w:val="24"/>
          <w:szCs w:val="24"/>
        </w:rPr>
        <w:t xml:space="preserve">ORP Jihlava, D2 </w:t>
      </w:r>
      <w:r w:rsidR="00D947B6">
        <w:rPr>
          <w:rFonts w:cstheme="minorHAnsi"/>
          <w:sz w:val="24"/>
          <w:szCs w:val="24"/>
        </w:rPr>
        <w:t xml:space="preserve">– </w:t>
      </w:r>
      <w:r w:rsidR="00804D5F">
        <w:rPr>
          <w:rFonts w:cstheme="minorHAnsi"/>
          <w:sz w:val="24"/>
          <w:szCs w:val="24"/>
        </w:rPr>
        <w:t xml:space="preserve">ORP Židlochovice, D4 </w:t>
      </w:r>
      <w:r w:rsidR="00D947B6">
        <w:rPr>
          <w:rFonts w:cstheme="minorHAnsi"/>
          <w:sz w:val="24"/>
          <w:szCs w:val="24"/>
        </w:rPr>
        <w:t xml:space="preserve">– </w:t>
      </w:r>
      <w:r w:rsidR="00804D5F">
        <w:rPr>
          <w:rFonts w:cstheme="minorHAnsi"/>
          <w:sz w:val="24"/>
          <w:szCs w:val="24"/>
        </w:rPr>
        <w:t xml:space="preserve">ORP Černošice a D48 </w:t>
      </w:r>
      <w:r w:rsidR="00D947B6">
        <w:rPr>
          <w:rFonts w:cstheme="minorHAnsi"/>
          <w:sz w:val="24"/>
          <w:szCs w:val="24"/>
        </w:rPr>
        <w:t xml:space="preserve">– </w:t>
      </w:r>
      <w:r w:rsidR="00804D5F">
        <w:rPr>
          <w:rFonts w:cstheme="minorHAnsi"/>
          <w:sz w:val="24"/>
          <w:szCs w:val="24"/>
        </w:rPr>
        <w:t>ORP Frýdek-Místek)</w:t>
      </w:r>
      <w:r w:rsidR="00D95B87" w:rsidRPr="00052107">
        <w:rPr>
          <w:rFonts w:cstheme="minorHAnsi"/>
          <w:sz w:val="24"/>
          <w:szCs w:val="24"/>
        </w:rPr>
        <w:t>, jedna byla v</w:t>
      </w:r>
      <w:r w:rsidR="00804D5F">
        <w:rPr>
          <w:rFonts w:cstheme="minorHAnsi"/>
          <w:sz w:val="24"/>
          <w:szCs w:val="24"/>
        </w:rPr>
        <w:t> </w:t>
      </w:r>
      <w:r w:rsidR="00D95B87" w:rsidRPr="00052107">
        <w:rPr>
          <w:rFonts w:cstheme="minorHAnsi"/>
          <w:sz w:val="24"/>
          <w:szCs w:val="24"/>
        </w:rPr>
        <w:t>reklama</w:t>
      </w:r>
      <w:r w:rsidR="00D947B6">
        <w:rPr>
          <w:rFonts w:cstheme="minorHAnsi"/>
          <w:sz w:val="24"/>
          <w:szCs w:val="24"/>
        </w:rPr>
        <w:t>ční</w:t>
      </w:r>
      <w:r w:rsidR="00871353">
        <w:rPr>
          <w:rFonts w:cstheme="minorHAnsi"/>
          <w:sz w:val="24"/>
          <w:szCs w:val="24"/>
        </w:rPr>
        <w:t>m</w:t>
      </w:r>
      <w:r w:rsidR="00804D5F">
        <w:rPr>
          <w:rFonts w:cstheme="minorHAnsi"/>
          <w:sz w:val="24"/>
          <w:szCs w:val="24"/>
        </w:rPr>
        <w:t xml:space="preserve"> </w:t>
      </w:r>
      <w:r w:rsidR="00D947B6">
        <w:rPr>
          <w:rFonts w:cstheme="minorHAnsi"/>
          <w:sz w:val="24"/>
          <w:szCs w:val="24"/>
        </w:rPr>
        <w:t xml:space="preserve">řízení </w:t>
      </w:r>
      <w:r w:rsidR="00804D5F">
        <w:rPr>
          <w:rFonts w:cstheme="minorHAnsi"/>
          <w:sz w:val="24"/>
          <w:szCs w:val="24"/>
        </w:rPr>
        <w:t xml:space="preserve">(na dálnici D8 </w:t>
      </w:r>
      <w:r w:rsidR="00D947B6">
        <w:rPr>
          <w:rFonts w:cstheme="minorHAnsi"/>
          <w:sz w:val="24"/>
          <w:szCs w:val="24"/>
        </w:rPr>
        <w:t xml:space="preserve">– </w:t>
      </w:r>
      <w:r w:rsidR="00804D5F">
        <w:rPr>
          <w:rFonts w:cstheme="minorHAnsi"/>
          <w:sz w:val="24"/>
          <w:szCs w:val="24"/>
        </w:rPr>
        <w:t>ORP Lovosice)</w:t>
      </w:r>
      <w:r w:rsidR="00D95B87" w:rsidRPr="00052107">
        <w:rPr>
          <w:rFonts w:cstheme="minorHAnsi"/>
          <w:sz w:val="24"/>
          <w:szCs w:val="24"/>
        </w:rPr>
        <w:t xml:space="preserve"> </w:t>
      </w:r>
      <w:r w:rsidR="00D947B6">
        <w:rPr>
          <w:rFonts w:cstheme="minorHAnsi"/>
          <w:sz w:val="24"/>
          <w:szCs w:val="24"/>
        </w:rPr>
        <w:t>a </w:t>
      </w:r>
      <w:r w:rsidR="00D95B87" w:rsidRPr="00052107">
        <w:rPr>
          <w:rFonts w:cstheme="minorHAnsi"/>
          <w:sz w:val="24"/>
          <w:szCs w:val="24"/>
        </w:rPr>
        <w:t>dvě byly mimo provoz</w:t>
      </w:r>
      <w:r w:rsidR="00804D5F">
        <w:rPr>
          <w:rFonts w:cstheme="minorHAnsi"/>
          <w:sz w:val="24"/>
          <w:szCs w:val="24"/>
        </w:rPr>
        <w:t xml:space="preserve"> (na dálnicích</w:t>
      </w:r>
      <w:r w:rsidR="00D947B6">
        <w:rPr>
          <w:rFonts w:cstheme="minorHAnsi"/>
          <w:sz w:val="24"/>
          <w:szCs w:val="24"/>
        </w:rPr>
        <w:t>:</w:t>
      </w:r>
      <w:r w:rsidR="00804D5F">
        <w:rPr>
          <w:rFonts w:cstheme="minorHAnsi"/>
          <w:sz w:val="24"/>
          <w:szCs w:val="24"/>
        </w:rPr>
        <w:t xml:space="preserve"> </w:t>
      </w:r>
      <w:r w:rsidR="004A11AD">
        <w:rPr>
          <w:rFonts w:cstheme="minorHAnsi"/>
          <w:sz w:val="24"/>
          <w:szCs w:val="24"/>
        </w:rPr>
        <w:t xml:space="preserve">D5 </w:t>
      </w:r>
      <w:r w:rsidR="00D947B6">
        <w:rPr>
          <w:rFonts w:cstheme="minorHAnsi"/>
          <w:sz w:val="24"/>
          <w:szCs w:val="24"/>
        </w:rPr>
        <w:t xml:space="preserve">– </w:t>
      </w:r>
      <w:r w:rsidR="004A11AD">
        <w:rPr>
          <w:rFonts w:cstheme="minorHAnsi"/>
          <w:sz w:val="24"/>
          <w:szCs w:val="24"/>
        </w:rPr>
        <w:t>ORP Nýřany a</w:t>
      </w:r>
      <w:r w:rsidR="00D947B6">
        <w:rPr>
          <w:rFonts w:cstheme="minorHAnsi"/>
          <w:sz w:val="24"/>
          <w:szCs w:val="24"/>
        </w:rPr>
        <w:t> </w:t>
      </w:r>
      <w:r w:rsidR="004A11AD">
        <w:rPr>
          <w:rFonts w:cstheme="minorHAnsi"/>
          <w:sz w:val="24"/>
          <w:szCs w:val="24"/>
        </w:rPr>
        <w:t>D35</w:t>
      </w:r>
      <w:r w:rsidR="00D947B6">
        <w:rPr>
          <w:rFonts w:cstheme="minorHAnsi"/>
          <w:sz w:val="24"/>
          <w:szCs w:val="24"/>
        </w:rPr>
        <w:t> – </w:t>
      </w:r>
      <w:r w:rsidR="004A11AD">
        <w:rPr>
          <w:rFonts w:cstheme="minorHAnsi"/>
          <w:sz w:val="24"/>
          <w:szCs w:val="24"/>
        </w:rPr>
        <w:t>ORP Olomouc)</w:t>
      </w:r>
      <w:r w:rsidR="00D95B87" w:rsidRPr="00052107">
        <w:rPr>
          <w:rFonts w:cstheme="minorHAnsi"/>
          <w:sz w:val="24"/>
          <w:szCs w:val="24"/>
        </w:rPr>
        <w:t xml:space="preserve">. Další </w:t>
      </w:r>
      <w:r w:rsidR="00D95B87" w:rsidRPr="00052107">
        <w:rPr>
          <w:rFonts w:cstheme="minorHAnsi"/>
          <w:sz w:val="24"/>
          <w:szCs w:val="24"/>
        </w:rPr>
        <w:lastRenderedPageBreak/>
        <w:t>váhy pro VKV byly připravovány ke zprovoznění nebo byly v různé fázi</w:t>
      </w:r>
      <w:r w:rsidR="00D947B6">
        <w:rPr>
          <w:rFonts w:cstheme="minorHAnsi"/>
          <w:sz w:val="24"/>
          <w:szCs w:val="24"/>
        </w:rPr>
        <w:t xml:space="preserve"> </w:t>
      </w:r>
      <w:r w:rsidR="00D95B87" w:rsidRPr="00052107">
        <w:rPr>
          <w:rFonts w:cstheme="minorHAnsi"/>
          <w:sz w:val="24"/>
          <w:szCs w:val="24"/>
        </w:rPr>
        <w:t>přípravy či výstavby (viz</w:t>
      </w:r>
      <w:r w:rsidR="00871353">
        <w:rPr>
          <w:rFonts w:cstheme="minorHAnsi"/>
          <w:sz w:val="24"/>
          <w:szCs w:val="24"/>
        </w:rPr>
        <w:t> </w:t>
      </w:r>
      <w:r w:rsidR="00D95B87" w:rsidRPr="00052107">
        <w:rPr>
          <w:rFonts w:cstheme="minorHAnsi"/>
          <w:sz w:val="24"/>
          <w:szCs w:val="24"/>
        </w:rPr>
        <w:t xml:space="preserve">tabulka č. 1). V době od července do října 2024 VKV </w:t>
      </w:r>
      <w:r w:rsidR="00A650CA" w:rsidRPr="00052107">
        <w:rPr>
          <w:rFonts w:cstheme="minorHAnsi"/>
          <w:sz w:val="24"/>
          <w:szCs w:val="24"/>
        </w:rPr>
        <w:t>vůbec neprobíhalo</w:t>
      </w:r>
      <w:r w:rsidR="00D95B87" w:rsidRPr="00052107">
        <w:rPr>
          <w:rFonts w:cstheme="minorHAnsi"/>
          <w:sz w:val="24"/>
          <w:szCs w:val="24"/>
        </w:rPr>
        <w:t xml:space="preserve"> z důvodu ztráty způsobilosti </w:t>
      </w:r>
      <w:r w:rsidR="00A650CA" w:rsidRPr="00052107">
        <w:rPr>
          <w:rFonts w:cstheme="minorHAnsi"/>
          <w:sz w:val="24"/>
          <w:szCs w:val="24"/>
        </w:rPr>
        <w:t xml:space="preserve">všech vah </w:t>
      </w:r>
      <w:r w:rsidR="00D95B87" w:rsidRPr="00052107">
        <w:rPr>
          <w:rFonts w:cstheme="minorHAnsi"/>
          <w:sz w:val="24"/>
          <w:szCs w:val="24"/>
        </w:rPr>
        <w:t xml:space="preserve">toto vážení </w:t>
      </w:r>
      <w:r w:rsidR="00A650CA" w:rsidRPr="00052107">
        <w:rPr>
          <w:rFonts w:cstheme="minorHAnsi"/>
          <w:sz w:val="24"/>
          <w:szCs w:val="24"/>
        </w:rPr>
        <w:t>provádě</w:t>
      </w:r>
      <w:r w:rsidR="00D95B87" w:rsidRPr="00052107">
        <w:rPr>
          <w:rFonts w:cstheme="minorHAnsi"/>
          <w:sz w:val="24"/>
          <w:szCs w:val="24"/>
        </w:rPr>
        <w:t xml:space="preserve">t (viz </w:t>
      </w:r>
      <w:r w:rsidR="00BE69A4" w:rsidRPr="00052107">
        <w:rPr>
          <w:rFonts w:cstheme="minorHAnsi"/>
          <w:sz w:val="24"/>
          <w:szCs w:val="24"/>
        </w:rPr>
        <w:t>odst</w:t>
      </w:r>
      <w:r w:rsidR="00AB0823" w:rsidRPr="00052107">
        <w:rPr>
          <w:rFonts w:cstheme="minorHAnsi"/>
          <w:sz w:val="24"/>
          <w:szCs w:val="24"/>
        </w:rPr>
        <w:t>.</w:t>
      </w:r>
      <w:r w:rsidR="00BE69A4" w:rsidRPr="00052107">
        <w:rPr>
          <w:rFonts w:cstheme="minorHAnsi"/>
          <w:sz w:val="24"/>
          <w:szCs w:val="24"/>
        </w:rPr>
        <w:t xml:space="preserve"> 4.</w:t>
      </w:r>
      <w:r w:rsidR="00841D4F" w:rsidRPr="00052107">
        <w:rPr>
          <w:rFonts w:cstheme="minorHAnsi"/>
          <w:sz w:val="24"/>
          <w:szCs w:val="24"/>
        </w:rPr>
        <w:t>3</w:t>
      </w:r>
      <w:r w:rsidR="00841D4F">
        <w:rPr>
          <w:rFonts w:cstheme="minorHAnsi"/>
          <w:sz w:val="24"/>
          <w:szCs w:val="24"/>
        </w:rPr>
        <w:t>7</w:t>
      </w:r>
      <w:r w:rsidR="00D95B87" w:rsidRPr="00052107">
        <w:rPr>
          <w:rFonts w:cstheme="minorHAnsi"/>
          <w:sz w:val="24"/>
          <w:szCs w:val="24"/>
        </w:rPr>
        <w:t xml:space="preserve">). </w:t>
      </w:r>
    </w:p>
    <w:p w14:paraId="6EA121AE" w14:textId="77777777" w:rsidR="00D95B87" w:rsidRPr="00052107" w:rsidRDefault="00D95B87" w:rsidP="009B30C2">
      <w:pPr>
        <w:spacing w:after="0" w:line="252" w:lineRule="auto"/>
        <w:contextualSpacing/>
        <w:jc w:val="both"/>
        <w:rPr>
          <w:rFonts w:cstheme="minorHAnsi"/>
          <w:sz w:val="24"/>
          <w:szCs w:val="24"/>
        </w:rPr>
      </w:pPr>
    </w:p>
    <w:p w14:paraId="3695F630" w14:textId="07BF5792" w:rsidR="00263065" w:rsidRDefault="00D95B87" w:rsidP="009B30C2">
      <w:pPr>
        <w:spacing w:after="0" w:line="252" w:lineRule="auto"/>
        <w:contextualSpacing/>
        <w:jc w:val="both"/>
        <w:rPr>
          <w:rFonts w:cstheme="minorHAnsi"/>
          <w:sz w:val="24"/>
          <w:szCs w:val="24"/>
        </w:rPr>
      </w:pPr>
      <w:r w:rsidRPr="00052107">
        <w:rPr>
          <w:rFonts w:cstheme="minorHAnsi"/>
          <w:sz w:val="24"/>
          <w:szCs w:val="24"/>
        </w:rPr>
        <w:t>4.2</w:t>
      </w:r>
      <w:r w:rsidR="00216774" w:rsidRPr="00052107">
        <w:rPr>
          <w:rFonts w:cstheme="minorHAnsi"/>
          <w:sz w:val="24"/>
          <w:szCs w:val="24"/>
        </w:rPr>
        <w:t>3</w:t>
      </w:r>
      <w:r w:rsidRPr="00052107">
        <w:rPr>
          <w:rFonts w:cstheme="minorHAnsi"/>
          <w:sz w:val="24"/>
          <w:szCs w:val="24"/>
        </w:rPr>
        <w:t xml:space="preserve"> </w:t>
      </w:r>
      <w:r w:rsidR="004C6F4D" w:rsidRPr="00052107">
        <w:rPr>
          <w:rFonts w:cstheme="minorHAnsi"/>
          <w:sz w:val="24"/>
          <w:szCs w:val="24"/>
        </w:rPr>
        <w:t>V období od</w:t>
      </w:r>
      <w:r w:rsidR="0076578F" w:rsidRPr="00052107">
        <w:rPr>
          <w:rFonts w:cstheme="minorHAnsi"/>
          <w:sz w:val="24"/>
          <w:szCs w:val="24"/>
        </w:rPr>
        <w:t xml:space="preserve"> </w:t>
      </w:r>
      <w:r w:rsidR="004C6F4D" w:rsidRPr="00052107">
        <w:rPr>
          <w:rFonts w:cstheme="minorHAnsi"/>
          <w:sz w:val="24"/>
          <w:szCs w:val="24"/>
        </w:rPr>
        <w:t>led</w:t>
      </w:r>
      <w:r w:rsidR="00011E44" w:rsidRPr="00052107">
        <w:rPr>
          <w:rFonts w:cstheme="minorHAnsi"/>
          <w:sz w:val="24"/>
          <w:szCs w:val="24"/>
        </w:rPr>
        <w:t>n</w:t>
      </w:r>
      <w:r w:rsidR="004C6F4D" w:rsidRPr="00052107">
        <w:rPr>
          <w:rFonts w:cstheme="minorHAnsi"/>
          <w:sz w:val="24"/>
          <w:szCs w:val="24"/>
        </w:rPr>
        <w:t xml:space="preserve">a </w:t>
      </w:r>
      <w:r w:rsidR="0076578F" w:rsidRPr="00052107">
        <w:rPr>
          <w:rFonts w:cstheme="minorHAnsi"/>
          <w:sz w:val="24"/>
          <w:szCs w:val="24"/>
        </w:rPr>
        <w:t>2020</w:t>
      </w:r>
      <w:r w:rsidR="004C6F4D" w:rsidRPr="00052107">
        <w:rPr>
          <w:rFonts w:cstheme="minorHAnsi"/>
          <w:sz w:val="24"/>
          <w:szCs w:val="24"/>
        </w:rPr>
        <w:t xml:space="preserve"> do </w:t>
      </w:r>
      <w:r w:rsidR="00B86AA8" w:rsidRPr="00052107">
        <w:rPr>
          <w:rFonts w:cstheme="minorHAnsi"/>
          <w:sz w:val="24"/>
          <w:szCs w:val="24"/>
        </w:rPr>
        <w:t>srp</w:t>
      </w:r>
      <w:r w:rsidR="004C6F4D" w:rsidRPr="00052107">
        <w:rPr>
          <w:rFonts w:cstheme="minorHAnsi"/>
          <w:sz w:val="24"/>
          <w:szCs w:val="24"/>
        </w:rPr>
        <w:t>na 2024</w:t>
      </w:r>
      <w:r w:rsidR="0012659F">
        <w:rPr>
          <w:rFonts w:cstheme="minorHAnsi"/>
          <w:sz w:val="24"/>
          <w:szCs w:val="24"/>
        </w:rPr>
        <w:t xml:space="preserve"> </w:t>
      </w:r>
      <w:r w:rsidR="004C6F4D" w:rsidRPr="00052107">
        <w:rPr>
          <w:rFonts w:cstheme="minorHAnsi"/>
          <w:sz w:val="24"/>
          <w:szCs w:val="24"/>
        </w:rPr>
        <w:t xml:space="preserve">čtyři </w:t>
      </w:r>
      <w:r w:rsidR="00FA36EA" w:rsidRPr="00052107">
        <w:rPr>
          <w:rFonts w:cstheme="minorHAnsi"/>
          <w:sz w:val="24"/>
          <w:szCs w:val="24"/>
        </w:rPr>
        <w:t>váhy</w:t>
      </w:r>
      <w:r w:rsidR="00A650CA" w:rsidRPr="00052107">
        <w:rPr>
          <w:rFonts w:cstheme="minorHAnsi"/>
          <w:sz w:val="24"/>
          <w:szCs w:val="24"/>
        </w:rPr>
        <w:t xml:space="preserve"> pro VKV</w:t>
      </w:r>
      <w:r w:rsidR="00FA36EA" w:rsidRPr="00052107">
        <w:rPr>
          <w:rFonts w:cstheme="minorHAnsi"/>
          <w:sz w:val="24"/>
          <w:szCs w:val="24"/>
        </w:rPr>
        <w:t xml:space="preserve"> </w:t>
      </w:r>
      <w:r w:rsidR="0055723E" w:rsidRPr="00052107">
        <w:rPr>
          <w:rFonts w:cstheme="minorHAnsi"/>
          <w:sz w:val="24"/>
          <w:szCs w:val="24"/>
        </w:rPr>
        <w:t xml:space="preserve">po většinu doby od svého zařazení do užívání </w:t>
      </w:r>
      <w:r w:rsidR="00A650CA" w:rsidRPr="00052107">
        <w:rPr>
          <w:rFonts w:cstheme="minorHAnsi"/>
          <w:sz w:val="24"/>
          <w:szCs w:val="24"/>
        </w:rPr>
        <w:t>n</w:t>
      </w:r>
      <w:r w:rsidR="00652717" w:rsidRPr="00052107">
        <w:rPr>
          <w:rFonts w:cstheme="minorHAnsi"/>
          <w:sz w:val="24"/>
          <w:szCs w:val="24"/>
        </w:rPr>
        <w:t>e</w:t>
      </w:r>
      <w:r w:rsidR="00FA36EA" w:rsidRPr="00052107">
        <w:rPr>
          <w:rFonts w:cstheme="minorHAnsi"/>
          <w:sz w:val="24"/>
          <w:szCs w:val="24"/>
        </w:rPr>
        <w:t>plni</w:t>
      </w:r>
      <w:r w:rsidR="00652717" w:rsidRPr="00052107">
        <w:rPr>
          <w:rFonts w:cstheme="minorHAnsi"/>
          <w:sz w:val="24"/>
          <w:szCs w:val="24"/>
        </w:rPr>
        <w:t>ly</w:t>
      </w:r>
      <w:r w:rsidR="00FA36EA" w:rsidRPr="00052107">
        <w:rPr>
          <w:rFonts w:cstheme="minorHAnsi"/>
          <w:sz w:val="24"/>
          <w:szCs w:val="24"/>
        </w:rPr>
        <w:t xml:space="preserve"> úkoly, pro které byly pořízeny</w:t>
      </w:r>
      <w:r w:rsidR="00652717" w:rsidRPr="00052107">
        <w:rPr>
          <w:rFonts w:cstheme="minorHAnsi"/>
          <w:sz w:val="24"/>
          <w:szCs w:val="24"/>
        </w:rPr>
        <w:t>, a to buď z důvodu technických problémů, nebo proto, že nebyly pro VKV úředně ověřeny.</w:t>
      </w:r>
      <w:r w:rsidR="00FA36EA" w:rsidRPr="00052107">
        <w:rPr>
          <w:rFonts w:cstheme="minorHAnsi"/>
          <w:sz w:val="24"/>
          <w:szCs w:val="24"/>
        </w:rPr>
        <w:t xml:space="preserve"> </w:t>
      </w:r>
      <w:r w:rsidR="006A4FB7">
        <w:rPr>
          <w:rFonts w:cstheme="minorHAnsi"/>
          <w:sz w:val="24"/>
          <w:szCs w:val="24"/>
        </w:rPr>
        <w:t>Z toho d</w:t>
      </w:r>
      <w:r w:rsidR="006A4FB7" w:rsidRPr="00052107">
        <w:rPr>
          <w:rFonts w:cstheme="minorHAnsi"/>
          <w:sz w:val="24"/>
          <w:szCs w:val="24"/>
        </w:rPr>
        <w:t xml:space="preserve">vě váhy pro VKV na dálnicích D5 </w:t>
      </w:r>
      <w:r w:rsidR="006A4FB7">
        <w:rPr>
          <w:rFonts w:cstheme="minorHAnsi"/>
          <w:sz w:val="24"/>
          <w:szCs w:val="24"/>
        </w:rPr>
        <w:t xml:space="preserve">(ORP Nýřany) </w:t>
      </w:r>
      <w:r w:rsidR="006A4FB7" w:rsidRPr="00052107">
        <w:rPr>
          <w:rFonts w:cstheme="minorHAnsi"/>
          <w:sz w:val="24"/>
          <w:szCs w:val="24"/>
        </w:rPr>
        <w:t xml:space="preserve">a D35 </w:t>
      </w:r>
      <w:r w:rsidR="006A4FB7">
        <w:rPr>
          <w:rFonts w:cstheme="minorHAnsi"/>
          <w:sz w:val="24"/>
          <w:szCs w:val="24"/>
        </w:rPr>
        <w:t xml:space="preserve">(ORP Olomouc) </w:t>
      </w:r>
      <w:r w:rsidR="006A4FB7" w:rsidRPr="00052107">
        <w:rPr>
          <w:rFonts w:cstheme="minorHAnsi"/>
          <w:sz w:val="24"/>
          <w:szCs w:val="24"/>
        </w:rPr>
        <w:t>nebyly způsobilé provádět VKV dokonce po více než 78 %</w:t>
      </w:r>
      <w:r w:rsidR="00F12B7E">
        <w:rPr>
          <w:rFonts w:cstheme="minorHAnsi"/>
          <w:sz w:val="24"/>
          <w:szCs w:val="24"/>
        </w:rPr>
        <w:t>, resp.</w:t>
      </w:r>
      <w:r w:rsidR="006A4FB7" w:rsidRPr="00052107">
        <w:rPr>
          <w:rFonts w:cstheme="minorHAnsi"/>
          <w:sz w:val="24"/>
          <w:szCs w:val="24"/>
        </w:rPr>
        <w:t xml:space="preserve"> 81 % doby svého užívání.</w:t>
      </w:r>
      <w:r w:rsidR="006A4FB7">
        <w:rPr>
          <w:rFonts w:cstheme="minorHAnsi"/>
          <w:sz w:val="24"/>
          <w:szCs w:val="24"/>
        </w:rPr>
        <w:t xml:space="preserve"> </w:t>
      </w:r>
      <w:r w:rsidR="00263065" w:rsidRPr="00052107">
        <w:rPr>
          <w:rFonts w:cstheme="minorHAnsi"/>
          <w:sz w:val="24"/>
          <w:szCs w:val="24"/>
        </w:rPr>
        <w:t xml:space="preserve">V součtu bylo sedm vah pro VKV </w:t>
      </w:r>
      <w:r w:rsidR="00B86AA8" w:rsidRPr="00052107">
        <w:rPr>
          <w:rFonts w:cstheme="minorHAnsi"/>
          <w:sz w:val="24"/>
          <w:szCs w:val="24"/>
        </w:rPr>
        <w:t xml:space="preserve">v tomto období </w:t>
      </w:r>
      <w:r w:rsidR="00263065" w:rsidRPr="00052107">
        <w:rPr>
          <w:rFonts w:cstheme="minorHAnsi"/>
          <w:sz w:val="24"/>
          <w:szCs w:val="24"/>
        </w:rPr>
        <w:t xml:space="preserve">v užívání po dobu 6 762 dnů. Způsobilé pro VKV byly ale jen po dobu 2 655 dní (tj. 39,26 % doby užívání) a nezpůsobilé pro VKV po dobu 4 107 dnů (tj. 60,74 % doby užívání). </w:t>
      </w:r>
      <w:r w:rsidR="009D6B25">
        <w:rPr>
          <w:rFonts w:cstheme="minorHAnsi"/>
          <w:sz w:val="24"/>
          <w:szCs w:val="24"/>
        </w:rPr>
        <w:t>Bližší informace o nezpůsobilosti vah pro VKV jsou uvedeny v tabulce č. 2.</w:t>
      </w:r>
    </w:p>
    <w:p w14:paraId="32127185" w14:textId="77777777" w:rsidR="00A33C87" w:rsidRPr="00A508F5" w:rsidRDefault="00A33C87" w:rsidP="009B30C2">
      <w:pPr>
        <w:spacing w:after="0" w:line="252" w:lineRule="auto"/>
        <w:contextualSpacing/>
        <w:jc w:val="both"/>
        <w:rPr>
          <w:rFonts w:ascii="Calibri" w:eastAsia="Aptos" w:hAnsi="Calibri" w:cs="Calibri"/>
          <w:sz w:val="24"/>
          <w:szCs w:val="24"/>
        </w:rPr>
      </w:pPr>
    </w:p>
    <w:p w14:paraId="0899CC3E" w14:textId="0A65B641" w:rsidR="00240FFF" w:rsidRDefault="00240FFF" w:rsidP="00240FFF">
      <w:pPr>
        <w:keepNext/>
        <w:spacing w:after="0" w:line="252" w:lineRule="auto"/>
        <w:contextualSpacing/>
        <w:jc w:val="both"/>
        <w:rPr>
          <w:rFonts w:ascii="Calibri" w:eastAsia="Calibri" w:hAnsi="Calibri" w:cs="Calibri"/>
          <w:b/>
          <w:sz w:val="24"/>
          <w:szCs w:val="24"/>
        </w:rPr>
      </w:pPr>
      <w:r w:rsidRPr="00A508F5">
        <w:rPr>
          <w:rFonts w:cstheme="minorHAnsi"/>
          <w:b/>
          <w:sz w:val="24"/>
          <w:szCs w:val="24"/>
        </w:rPr>
        <w:t>Tabulka č. 2:</w:t>
      </w:r>
      <w:r w:rsidR="004C6F4D" w:rsidRPr="00A508F5">
        <w:rPr>
          <w:rFonts w:cstheme="minorHAnsi"/>
          <w:b/>
          <w:sz w:val="24"/>
          <w:szCs w:val="24"/>
        </w:rPr>
        <w:t xml:space="preserve"> </w:t>
      </w:r>
      <w:r w:rsidRPr="00A508F5">
        <w:rPr>
          <w:rFonts w:ascii="Calibri" w:eastAsia="Calibri" w:hAnsi="Calibri" w:cs="Calibri"/>
          <w:b/>
          <w:sz w:val="24"/>
          <w:szCs w:val="24"/>
        </w:rPr>
        <w:t>Způsobilost vah p</w:t>
      </w:r>
      <w:r>
        <w:rPr>
          <w:rFonts w:ascii="Calibri" w:eastAsia="Calibri" w:hAnsi="Calibri" w:cs="Calibri"/>
          <w:b/>
          <w:sz w:val="24"/>
          <w:szCs w:val="24"/>
        </w:rPr>
        <w:t>rovádět VKV</w:t>
      </w:r>
      <w:r w:rsidR="00CD156A">
        <w:rPr>
          <w:rFonts w:ascii="Calibri" w:eastAsia="Calibri" w:hAnsi="Calibri" w:cs="Calibri"/>
          <w:b/>
          <w:sz w:val="24"/>
          <w:szCs w:val="24"/>
        </w:rPr>
        <w:t xml:space="preserve"> v období </w:t>
      </w:r>
      <w:r w:rsidR="00CD156A" w:rsidRPr="00CD156A">
        <w:rPr>
          <w:rFonts w:ascii="Calibri" w:eastAsia="Calibri" w:hAnsi="Calibri" w:cs="Calibri"/>
          <w:b/>
          <w:sz w:val="24"/>
          <w:szCs w:val="24"/>
        </w:rPr>
        <w:t xml:space="preserve">od ledna </w:t>
      </w:r>
      <w:r w:rsidR="00CD156A" w:rsidRPr="00052107">
        <w:rPr>
          <w:rFonts w:ascii="Calibri" w:eastAsia="Calibri" w:hAnsi="Calibri" w:cs="Calibri"/>
          <w:b/>
          <w:sz w:val="24"/>
          <w:szCs w:val="24"/>
        </w:rPr>
        <w:t xml:space="preserve">2020 do </w:t>
      </w:r>
      <w:r w:rsidR="00B86AA8" w:rsidRPr="00052107">
        <w:rPr>
          <w:rFonts w:ascii="Calibri" w:eastAsia="Calibri" w:hAnsi="Calibri" w:cs="Calibri"/>
          <w:b/>
          <w:sz w:val="24"/>
          <w:szCs w:val="24"/>
        </w:rPr>
        <w:t>srpna</w:t>
      </w:r>
      <w:r w:rsidR="00CD156A" w:rsidRPr="00052107">
        <w:rPr>
          <w:rFonts w:ascii="Calibri" w:eastAsia="Calibri" w:hAnsi="Calibri" w:cs="Calibri"/>
          <w:b/>
          <w:sz w:val="24"/>
          <w:szCs w:val="24"/>
        </w:rPr>
        <w:t xml:space="preserve"> 2024</w:t>
      </w:r>
      <w:r w:rsidR="004A60EB" w:rsidRPr="00052107">
        <w:rPr>
          <w:rFonts w:ascii="Calibri" w:eastAsia="Calibri" w:hAnsi="Calibri" w:cs="Calibri"/>
          <w:b/>
          <w:sz w:val="24"/>
          <w:szCs w:val="24"/>
        </w:rPr>
        <w:t>*</w:t>
      </w:r>
    </w:p>
    <w:p w14:paraId="0F3D2099" w14:textId="77777777" w:rsidR="00CD156A" w:rsidRPr="00CD156A" w:rsidRDefault="00CD156A" w:rsidP="00240FFF">
      <w:pPr>
        <w:keepNext/>
        <w:spacing w:after="0" w:line="252" w:lineRule="auto"/>
        <w:contextualSpacing/>
        <w:jc w:val="both"/>
        <w:rPr>
          <w:rFonts w:ascii="Calibri" w:eastAsia="Calibri" w:hAnsi="Calibri" w:cs="Calibri"/>
          <w:b/>
          <w:sz w:val="6"/>
          <w:szCs w:val="6"/>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
        <w:gridCol w:w="1474"/>
        <w:gridCol w:w="1020"/>
        <w:gridCol w:w="1134"/>
        <w:gridCol w:w="1134"/>
        <w:gridCol w:w="1134"/>
        <w:gridCol w:w="1134"/>
        <w:gridCol w:w="1125"/>
      </w:tblGrid>
      <w:tr w:rsidR="00240FFF" w:rsidRPr="00447172" w14:paraId="30A32A88" w14:textId="77777777" w:rsidTr="00F41FB9">
        <w:trPr>
          <w:trHeight w:val="340"/>
        </w:trPr>
        <w:tc>
          <w:tcPr>
            <w:tcW w:w="907" w:type="dxa"/>
            <w:vMerge w:val="restart"/>
            <w:tcBorders>
              <w:top w:val="single" w:sz="8" w:space="0" w:color="auto"/>
              <w:left w:val="single" w:sz="8" w:space="0" w:color="auto"/>
            </w:tcBorders>
            <w:shd w:val="clear" w:color="auto" w:fill="E6E6E6"/>
            <w:noWrap/>
            <w:vAlign w:val="center"/>
            <w:hideMark/>
          </w:tcPr>
          <w:p w14:paraId="3718384B" w14:textId="77777777" w:rsidR="00240FFF" w:rsidRPr="004459F3" w:rsidRDefault="00240FFF" w:rsidP="00D95B87">
            <w:pPr>
              <w:spacing w:after="0" w:line="252" w:lineRule="auto"/>
              <w:jc w:val="center"/>
              <w:rPr>
                <w:rFonts w:cstheme="minorHAnsi"/>
                <w:b/>
                <w:bCs/>
                <w:color w:val="000000"/>
                <w:sz w:val="20"/>
                <w:szCs w:val="20"/>
                <w:lang w:eastAsia="cs-CZ"/>
              </w:rPr>
            </w:pPr>
            <w:r w:rsidRPr="004459F3">
              <w:rPr>
                <w:rFonts w:cstheme="minorHAnsi"/>
                <w:b/>
                <w:bCs/>
                <w:color w:val="000000"/>
                <w:sz w:val="20"/>
                <w:szCs w:val="20"/>
              </w:rPr>
              <w:t>Dálnice</w:t>
            </w:r>
          </w:p>
        </w:tc>
        <w:tc>
          <w:tcPr>
            <w:tcW w:w="1474" w:type="dxa"/>
            <w:vMerge w:val="restart"/>
            <w:tcBorders>
              <w:top w:val="single" w:sz="8" w:space="0" w:color="auto"/>
            </w:tcBorders>
            <w:shd w:val="clear" w:color="auto" w:fill="E6E6E6"/>
            <w:vAlign w:val="center"/>
          </w:tcPr>
          <w:p w14:paraId="37345D41" w14:textId="77777777" w:rsidR="00240FFF" w:rsidRPr="004459F3" w:rsidRDefault="00240FFF" w:rsidP="00D95B87">
            <w:pPr>
              <w:spacing w:after="0" w:line="252" w:lineRule="auto"/>
              <w:jc w:val="center"/>
              <w:rPr>
                <w:rFonts w:cstheme="minorHAnsi"/>
                <w:b/>
                <w:bCs/>
                <w:color w:val="000000"/>
                <w:sz w:val="20"/>
                <w:szCs w:val="20"/>
              </w:rPr>
            </w:pPr>
            <w:r w:rsidRPr="004459F3">
              <w:rPr>
                <w:rFonts w:cstheme="minorHAnsi"/>
                <w:b/>
                <w:bCs/>
                <w:color w:val="000000"/>
                <w:sz w:val="20"/>
                <w:szCs w:val="20"/>
              </w:rPr>
              <w:t>ORP</w:t>
            </w:r>
          </w:p>
        </w:tc>
        <w:tc>
          <w:tcPr>
            <w:tcW w:w="1020" w:type="dxa"/>
            <w:vMerge w:val="restart"/>
            <w:tcBorders>
              <w:top w:val="single" w:sz="8" w:space="0" w:color="auto"/>
            </w:tcBorders>
            <w:shd w:val="clear" w:color="auto" w:fill="E6E6E6"/>
            <w:vAlign w:val="center"/>
          </w:tcPr>
          <w:p w14:paraId="6EEA4F71" w14:textId="77777777" w:rsidR="00240FFF" w:rsidRPr="004459F3" w:rsidRDefault="00240FFF" w:rsidP="00D95B87">
            <w:pPr>
              <w:spacing w:after="0" w:line="252" w:lineRule="auto"/>
              <w:jc w:val="center"/>
              <w:rPr>
                <w:rFonts w:cstheme="minorHAnsi"/>
                <w:b/>
                <w:bCs/>
                <w:color w:val="000000"/>
                <w:sz w:val="20"/>
                <w:szCs w:val="20"/>
              </w:rPr>
            </w:pPr>
            <w:r w:rsidRPr="004459F3">
              <w:rPr>
                <w:rFonts w:cstheme="minorHAnsi"/>
                <w:b/>
                <w:bCs/>
                <w:color w:val="000000"/>
                <w:sz w:val="20"/>
                <w:szCs w:val="20"/>
              </w:rPr>
              <w:t>Zahájení VKV</w:t>
            </w:r>
          </w:p>
        </w:tc>
        <w:tc>
          <w:tcPr>
            <w:tcW w:w="1134" w:type="dxa"/>
            <w:vMerge w:val="restart"/>
            <w:tcBorders>
              <w:top w:val="single" w:sz="8" w:space="0" w:color="auto"/>
              <w:right w:val="single" w:sz="8" w:space="0" w:color="auto"/>
            </w:tcBorders>
            <w:shd w:val="clear" w:color="auto" w:fill="E6E6E6"/>
            <w:noWrap/>
            <w:vAlign w:val="center"/>
          </w:tcPr>
          <w:p w14:paraId="2DF6912C" w14:textId="7B0D86B2" w:rsidR="00240FFF" w:rsidRPr="004459F3" w:rsidRDefault="00240FFF" w:rsidP="00D95B87">
            <w:pPr>
              <w:spacing w:after="0" w:line="252" w:lineRule="auto"/>
              <w:jc w:val="center"/>
              <w:rPr>
                <w:rFonts w:cstheme="minorHAnsi"/>
                <w:b/>
                <w:bCs/>
                <w:color w:val="000000"/>
                <w:sz w:val="20"/>
                <w:szCs w:val="20"/>
              </w:rPr>
            </w:pPr>
            <w:r w:rsidRPr="004459F3">
              <w:rPr>
                <w:rFonts w:cstheme="minorHAnsi"/>
                <w:b/>
                <w:bCs/>
                <w:color w:val="000000"/>
                <w:sz w:val="20"/>
                <w:szCs w:val="20"/>
              </w:rPr>
              <w:t>Počet dnů v</w:t>
            </w:r>
            <w:r w:rsidR="006326E3" w:rsidRPr="004459F3">
              <w:rPr>
                <w:rFonts w:cstheme="minorHAnsi"/>
                <w:b/>
                <w:bCs/>
                <w:color w:val="000000"/>
                <w:sz w:val="20"/>
                <w:szCs w:val="20"/>
              </w:rPr>
              <w:t> </w:t>
            </w:r>
            <w:r w:rsidRPr="004459F3">
              <w:rPr>
                <w:rFonts w:cstheme="minorHAnsi"/>
                <w:b/>
                <w:bCs/>
                <w:color w:val="000000"/>
                <w:sz w:val="20"/>
                <w:szCs w:val="20"/>
              </w:rPr>
              <w:t>užívání</w:t>
            </w:r>
          </w:p>
        </w:tc>
        <w:tc>
          <w:tcPr>
            <w:tcW w:w="2268" w:type="dxa"/>
            <w:gridSpan w:val="2"/>
            <w:tcBorders>
              <w:top w:val="single" w:sz="8" w:space="0" w:color="auto"/>
              <w:left w:val="single" w:sz="8" w:space="0" w:color="auto"/>
              <w:right w:val="single" w:sz="8" w:space="0" w:color="auto"/>
            </w:tcBorders>
            <w:shd w:val="clear" w:color="auto" w:fill="E6E6E6"/>
            <w:vAlign w:val="center"/>
          </w:tcPr>
          <w:p w14:paraId="672C06D8" w14:textId="6C788D53" w:rsidR="00240FFF" w:rsidRPr="004459F3" w:rsidRDefault="00F12B7E" w:rsidP="00D95B87">
            <w:pPr>
              <w:spacing w:after="0" w:line="252" w:lineRule="auto"/>
              <w:jc w:val="center"/>
              <w:rPr>
                <w:rFonts w:cstheme="minorHAnsi"/>
                <w:b/>
                <w:bCs/>
                <w:color w:val="00B050"/>
                <w:sz w:val="20"/>
                <w:szCs w:val="20"/>
              </w:rPr>
            </w:pPr>
            <w:r>
              <w:rPr>
                <w:rFonts w:cstheme="minorHAnsi"/>
                <w:b/>
                <w:bCs/>
                <w:color w:val="00B050"/>
                <w:sz w:val="20"/>
                <w:szCs w:val="20"/>
              </w:rPr>
              <w:t>Váha byla z</w:t>
            </w:r>
            <w:r w:rsidR="00240FFF" w:rsidRPr="004459F3">
              <w:rPr>
                <w:rFonts w:cstheme="minorHAnsi"/>
                <w:b/>
                <w:bCs/>
                <w:color w:val="00B050"/>
                <w:sz w:val="20"/>
                <w:szCs w:val="20"/>
              </w:rPr>
              <w:t>působil</w:t>
            </w:r>
            <w:r>
              <w:rPr>
                <w:rFonts w:cstheme="minorHAnsi"/>
                <w:b/>
                <w:bCs/>
                <w:color w:val="00B050"/>
                <w:sz w:val="20"/>
                <w:szCs w:val="20"/>
              </w:rPr>
              <w:t>á</w:t>
            </w:r>
            <w:r w:rsidR="00240FFF" w:rsidRPr="004459F3">
              <w:rPr>
                <w:rFonts w:cstheme="minorHAnsi"/>
                <w:b/>
                <w:bCs/>
                <w:color w:val="00B050"/>
                <w:sz w:val="20"/>
                <w:szCs w:val="20"/>
              </w:rPr>
              <w:t xml:space="preserve"> pro</w:t>
            </w:r>
            <w:r>
              <w:rPr>
                <w:rFonts w:cstheme="minorHAnsi"/>
                <w:b/>
                <w:bCs/>
                <w:color w:val="00B050"/>
                <w:sz w:val="20"/>
                <w:szCs w:val="20"/>
              </w:rPr>
              <w:t> </w:t>
            </w:r>
            <w:r w:rsidR="00240FFF" w:rsidRPr="004459F3">
              <w:rPr>
                <w:rFonts w:cstheme="minorHAnsi"/>
                <w:b/>
                <w:bCs/>
                <w:color w:val="00B050"/>
                <w:sz w:val="20"/>
                <w:szCs w:val="20"/>
              </w:rPr>
              <w:t>VKV</w:t>
            </w:r>
          </w:p>
        </w:tc>
        <w:tc>
          <w:tcPr>
            <w:tcW w:w="2259" w:type="dxa"/>
            <w:gridSpan w:val="2"/>
            <w:tcBorders>
              <w:top w:val="single" w:sz="8" w:space="0" w:color="auto"/>
              <w:left w:val="single" w:sz="8" w:space="0" w:color="auto"/>
              <w:right w:val="single" w:sz="8" w:space="0" w:color="auto"/>
            </w:tcBorders>
            <w:shd w:val="clear" w:color="auto" w:fill="E6E6E6"/>
            <w:vAlign w:val="center"/>
          </w:tcPr>
          <w:p w14:paraId="1F0F7FB6" w14:textId="1786FC15" w:rsidR="00240FFF" w:rsidRPr="004459F3" w:rsidRDefault="00F12B7E" w:rsidP="00D95B87">
            <w:pPr>
              <w:spacing w:after="0" w:line="252" w:lineRule="auto"/>
              <w:jc w:val="center"/>
              <w:rPr>
                <w:rFonts w:cstheme="minorHAnsi"/>
                <w:b/>
                <w:bCs/>
                <w:color w:val="FF0000"/>
                <w:sz w:val="20"/>
                <w:szCs w:val="20"/>
              </w:rPr>
            </w:pPr>
            <w:r>
              <w:rPr>
                <w:rFonts w:cstheme="minorHAnsi"/>
                <w:b/>
                <w:bCs/>
                <w:color w:val="FF0000"/>
                <w:sz w:val="20"/>
                <w:szCs w:val="20"/>
              </w:rPr>
              <w:t>Váha byla n</w:t>
            </w:r>
            <w:r w:rsidR="00240FFF" w:rsidRPr="004459F3">
              <w:rPr>
                <w:rFonts w:cstheme="minorHAnsi"/>
                <w:b/>
                <w:bCs/>
                <w:color w:val="FF0000"/>
                <w:sz w:val="20"/>
                <w:szCs w:val="20"/>
              </w:rPr>
              <w:t>ezpůsobil</w:t>
            </w:r>
            <w:r>
              <w:rPr>
                <w:rFonts w:cstheme="minorHAnsi"/>
                <w:b/>
                <w:bCs/>
                <w:color w:val="FF0000"/>
                <w:sz w:val="20"/>
                <w:szCs w:val="20"/>
              </w:rPr>
              <w:t>á</w:t>
            </w:r>
            <w:r w:rsidR="00240FFF" w:rsidRPr="004459F3">
              <w:rPr>
                <w:rFonts w:cstheme="minorHAnsi"/>
                <w:b/>
                <w:bCs/>
                <w:color w:val="FF0000"/>
                <w:sz w:val="20"/>
                <w:szCs w:val="20"/>
              </w:rPr>
              <w:t xml:space="preserve"> pro VKV</w:t>
            </w:r>
          </w:p>
        </w:tc>
      </w:tr>
      <w:tr w:rsidR="00240FFF" w:rsidRPr="00447172" w14:paraId="540CDB79" w14:textId="77777777" w:rsidTr="00F41FB9">
        <w:trPr>
          <w:trHeight w:val="340"/>
        </w:trPr>
        <w:tc>
          <w:tcPr>
            <w:tcW w:w="907" w:type="dxa"/>
            <w:vMerge/>
            <w:tcBorders>
              <w:left w:val="single" w:sz="8" w:space="0" w:color="auto"/>
              <w:bottom w:val="single" w:sz="8" w:space="0" w:color="auto"/>
            </w:tcBorders>
            <w:shd w:val="clear" w:color="auto" w:fill="E6E6E6"/>
            <w:noWrap/>
            <w:vAlign w:val="center"/>
          </w:tcPr>
          <w:p w14:paraId="7EA36CD5" w14:textId="77777777" w:rsidR="00240FFF" w:rsidRPr="004459F3" w:rsidRDefault="00240FFF" w:rsidP="00D95B87">
            <w:pPr>
              <w:spacing w:after="0" w:line="252" w:lineRule="auto"/>
              <w:jc w:val="center"/>
              <w:rPr>
                <w:rFonts w:cstheme="minorHAnsi"/>
                <w:b/>
                <w:bCs/>
                <w:color w:val="000000"/>
                <w:sz w:val="20"/>
                <w:szCs w:val="20"/>
              </w:rPr>
            </w:pPr>
          </w:p>
        </w:tc>
        <w:tc>
          <w:tcPr>
            <w:tcW w:w="1474" w:type="dxa"/>
            <w:vMerge/>
            <w:tcBorders>
              <w:bottom w:val="single" w:sz="8" w:space="0" w:color="auto"/>
            </w:tcBorders>
            <w:shd w:val="clear" w:color="auto" w:fill="E6E6E6"/>
            <w:vAlign w:val="center"/>
          </w:tcPr>
          <w:p w14:paraId="5E9327E1" w14:textId="77777777" w:rsidR="00240FFF" w:rsidRPr="004459F3" w:rsidRDefault="00240FFF" w:rsidP="00D95B87">
            <w:pPr>
              <w:spacing w:after="0" w:line="252" w:lineRule="auto"/>
              <w:jc w:val="center"/>
              <w:rPr>
                <w:rFonts w:cstheme="minorHAnsi"/>
                <w:b/>
                <w:bCs/>
                <w:color w:val="000000"/>
                <w:sz w:val="20"/>
                <w:szCs w:val="20"/>
              </w:rPr>
            </w:pPr>
          </w:p>
        </w:tc>
        <w:tc>
          <w:tcPr>
            <w:tcW w:w="1020" w:type="dxa"/>
            <w:vMerge/>
            <w:tcBorders>
              <w:bottom w:val="single" w:sz="8" w:space="0" w:color="auto"/>
            </w:tcBorders>
            <w:shd w:val="clear" w:color="auto" w:fill="E6E6E6"/>
            <w:vAlign w:val="center"/>
          </w:tcPr>
          <w:p w14:paraId="4E6DD05C" w14:textId="77777777" w:rsidR="00240FFF" w:rsidRPr="004459F3" w:rsidRDefault="00240FFF" w:rsidP="00D95B87">
            <w:pPr>
              <w:spacing w:after="0" w:line="252" w:lineRule="auto"/>
              <w:jc w:val="center"/>
              <w:rPr>
                <w:rFonts w:cstheme="minorHAnsi"/>
                <w:b/>
                <w:bCs/>
                <w:color w:val="000000"/>
                <w:sz w:val="20"/>
                <w:szCs w:val="20"/>
              </w:rPr>
            </w:pPr>
          </w:p>
        </w:tc>
        <w:tc>
          <w:tcPr>
            <w:tcW w:w="1134" w:type="dxa"/>
            <w:vMerge/>
            <w:tcBorders>
              <w:bottom w:val="single" w:sz="8" w:space="0" w:color="auto"/>
              <w:right w:val="single" w:sz="8" w:space="0" w:color="auto"/>
            </w:tcBorders>
            <w:shd w:val="clear" w:color="auto" w:fill="E6E6E6"/>
            <w:noWrap/>
            <w:vAlign w:val="center"/>
          </w:tcPr>
          <w:p w14:paraId="65DF294B" w14:textId="77777777" w:rsidR="00240FFF" w:rsidRPr="004459F3" w:rsidRDefault="00240FFF" w:rsidP="00D95B87">
            <w:pPr>
              <w:spacing w:after="0" w:line="252" w:lineRule="auto"/>
              <w:jc w:val="center"/>
              <w:rPr>
                <w:rFonts w:cstheme="minorHAnsi"/>
                <w:b/>
                <w:bCs/>
                <w:color w:val="000000"/>
                <w:sz w:val="20"/>
                <w:szCs w:val="20"/>
              </w:rPr>
            </w:pPr>
          </w:p>
        </w:tc>
        <w:tc>
          <w:tcPr>
            <w:tcW w:w="1134" w:type="dxa"/>
            <w:tcBorders>
              <w:left w:val="single" w:sz="8" w:space="0" w:color="auto"/>
              <w:bottom w:val="single" w:sz="8" w:space="0" w:color="auto"/>
            </w:tcBorders>
            <w:shd w:val="clear" w:color="auto" w:fill="E6E6E6"/>
            <w:vAlign w:val="center"/>
          </w:tcPr>
          <w:p w14:paraId="3D401436" w14:textId="30816BED" w:rsidR="00240FFF" w:rsidRPr="004459F3" w:rsidRDefault="00240FFF" w:rsidP="00D95B87">
            <w:pPr>
              <w:spacing w:after="0" w:line="252" w:lineRule="auto"/>
              <w:jc w:val="center"/>
              <w:rPr>
                <w:rFonts w:cstheme="minorHAnsi"/>
                <w:b/>
                <w:bCs/>
                <w:color w:val="00B050"/>
                <w:sz w:val="20"/>
                <w:szCs w:val="20"/>
              </w:rPr>
            </w:pPr>
            <w:r w:rsidRPr="004459F3">
              <w:rPr>
                <w:rFonts w:cstheme="minorHAnsi"/>
                <w:b/>
                <w:bCs/>
                <w:color w:val="00B050"/>
                <w:sz w:val="20"/>
                <w:szCs w:val="20"/>
              </w:rPr>
              <w:t>dn</w:t>
            </w:r>
            <w:r w:rsidR="00F12B7E">
              <w:rPr>
                <w:rFonts w:cstheme="minorHAnsi"/>
                <w:b/>
                <w:bCs/>
                <w:color w:val="00B050"/>
                <w:sz w:val="20"/>
                <w:szCs w:val="20"/>
              </w:rPr>
              <w:t>y</w:t>
            </w:r>
          </w:p>
        </w:tc>
        <w:tc>
          <w:tcPr>
            <w:tcW w:w="1134" w:type="dxa"/>
            <w:tcBorders>
              <w:bottom w:val="single" w:sz="8" w:space="0" w:color="auto"/>
              <w:right w:val="single" w:sz="8" w:space="0" w:color="auto"/>
            </w:tcBorders>
            <w:shd w:val="clear" w:color="auto" w:fill="E6E6E6"/>
            <w:vAlign w:val="center"/>
          </w:tcPr>
          <w:p w14:paraId="5E544005" w14:textId="77777777" w:rsidR="00240FFF" w:rsidRPr="004459F3" w:rsidRDefault="00240FFF" w:rsidP="00D95B87">
            <w:pPr>
              <w:spacing w:after="0" w:line="252" w:lineRule="auto"/>
              <w:jc w:val="center"/>
              <w:rPr>
                <w:rFonts w:cstheme="minorHAnsi"/>
                <w:b/>
                <w:bCs/>
                <w:color w:val="00B050"/>
                <w:sz w:val="20"/>
                <w:szCs w:val="20"/>
              </w:rPr>
            </w:pPr>
            <w:r w:rsidRPr="004459F3">
              <w:rPr>
                <w:rFonts w:cstheme="minorHAnsi"/>
                <w:b/>
                <w:bCs/>
                <w:color w:val="00B050"/>
                <w:sz w:val="20"/>
                <w:szCs w:val="20"/>
              </w:rPr>
              <w:t>%</w:t>
            </w:r>
          </w:p>
        </w:tc>
        <w:tc>
          <w:tcPr>
            <w:tcW w:w="1134" w:type="dxa"/>
            <w:tcBorders>
              <w:left w:val="single" w:sz="8" w:space="0" w:color="auto"/>
              <w:bottom w:val="single" w:sz="8" w:space="0" w:color="auto"/>
            </w:tcBorders>
            <w:shd w:val="clear" w:color="auto" w:fill="E6E6E6"/>
            <w:vAlign w:val="center"/>
          </w:tcPr>
          <w:p w14:paraId="6128E8F0" w14:textId="701622B6" w:rsidR="00240FFF" w:rsidRPr="004459F3" w:rsidRDefault="00240FFF" w:rsidP="00D95B87">
            <w:pPr>
              <w:spacing w:after="0" w:line="252" w:lineRule="auto"/>
              <w:jc w:val="center"/>
              <w:rPr>
                <w:rFonts w:cstheme="minorHAnsi"/>
                <w:b/>
                <w:bCs/>
                <w:color w:val="000000"/>
                <w:sz w:val="20"/>
                <w:szCs w:val="20"/>
              </w:rPr>
            </w:pPr>
            <w:r w:rsidRPr="004459F3">
              <w:rPr>
                <w:rFonts w:cstheme="minorHAnsi"/>
                <w:b/>
                <w:bCs/>
                <w:color w:val="FF0000"/>
                <w:sz w:val="20"/>
                <w:szCs w:val="20"/>
              </w:rPr>
              <w:t>dn</w:t>
            </w:r>
            <w:r w:rsidR="00F12B7E">
              <w:rPr>
                <w:rFonts w:cstheme="minorHAnsi"/>
                <w:b/>
                <w:bCs/>
                <w:color w:val="FF0000"/>
                <w:sz w:val="20"/>
                <w:szCs w:val="20"/>
              </w:rPr>
              <w:t>y</w:t>
            </w:r>
          </w:p>
        </w:tc>
        <w:tc>
          <w:tcPr>
            <w:tcW w:w="1125" w:type="dxa"/>
            <w:tcBorders>
              <w:bottom w:val="single" w:sz="8" w:space="0" w:color="auto"/>
              <w:right w:val="single" w:sz="8" w:space="0" w:color="auto"/>
            </w:tcBorders>
            <w:shd w:val="clear" w:color="auto" w:fill="E6E6E6"/>
            <w:vAlign w:val="center"/>
          </w:tcPr>
          <w:p w14:paraId="797D3951" w14:textId="77777777" w:rsidR="00240FFF" w:rsidRPr="004459F3" w:rsidRDefault="00240FFF" w:rsidP="00D95B87">
            <w:pPr>
              <w:spacing w:after="0" w:line="252" w:lineRule="auto"/>
              <w:jc w:val="center"/>
              <w:rPr>
                <w:rFonts w:cstheme="minorHAnsi"/>
                <w:b/>
                <w:bCs/>
                <w:color w:val="FF0000"/>
                <w:sz w:val="20"/>
                <w:szCs w:val="20"/>
              </w:rPr>
            </w:pPr>
            <w:r w:rsidRPr="004459F3">
              <w:rPr>
                <w:rFonts w:cstheme="minorHAnsi"/>
                <w:b/>
                <w:bCs/>
                <w:color w:val="FF0000"/>
                <w:sz w:val="20"/>
                <w:szCs w:val="20"/>
              </w:rPr>
              <w:t>%</w:t>
            </w:r>
          </w:p>
        </w:tc>
      </w:tr>
      <w:tr w:rsidR="00CD156A" w:rsidRPr="00447172" w14:paraId="2ECB7252" w14:textId="77777777" w:rsidTr="00871353">
        <w:trPr>
          <w:trHeight w:val="340"/>
        </w:trPr>
        <w:tc>
          <w:tcPr>
            <w:tcW w:w="907" w:type="dxa"/>
            <w:tcBorders>
              <w:top w:val="single" w:sz="8" w:space="0" w:color="auto"/>
              <w:left w:val="single" w:sz="8" w:space="0" w:color="auto"/>
            </w:tcBorders>
            <w:shd w:val="clear" w:color="auto" w:fill="auto"/>
            <w:noWrap/>
            <w:vAlign w:val="center"/>
            <w:hideMark/>
          </w:tcPr>
          <w:p w14:paraId="0C4CA553"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D5</w:t>
            </w:r>
          </w:p>
        </w:tc>
        <w:tc>
          <w:tcPr>
            <w:tcW w:w="1474" w:type="dxa"/>
            <w:tcBorders>
              <w:top w:val="single" w:sz="8" w:space="0" w:color="auto"/>
            </w:tcBorders>
            <w:shd w:val="clear" w:color="auto" w:fill="auto"/>
            <w:vAlign w:val="center"/>
          </w:tcPr>
          <w:p w14:paraId="736F17FF"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Nýřany</w:t>
            </w:r>
          </w:p>
        </w:tc>
        <w:tc>
          <w:tcPr>
            <w:tcW w:w="1020" w:type="dxa"/>
            <w:tcBorders>
              <w:top w:val="single" w:sz="8" w:space="0" w:color="auto"/>
            </w:tcBorders>
            <w:shd w:val="clear" w:color="auto" w:fill="auto"/>
            <w:vAlign w:val="center"/>
          </w:tcPr>
          <w:p w14:paraId="07F89058"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01/2020</w:t>
            </w:r>
          </w:p>
        </w:tc>
        <w:tc>
          <w:tcPr>
            <w:tcW w:w="1134" w:type="dxa"/>
            <w:tcBorders>
              <w:top w:val="single" w:sz="8" w:space="0" w:color="auto"/>
              <w:right w:val="single" w:sz="8" w:space="0" w:color="auto"/>
            </w:tcBorders>
            <w:shd w:val="clear" w:color="auto" w:fill="auto"/>
            <w:noWrap/>
            <w:vAlign w:val="center"/>
          </w:tcPr>
          <w:p w14:paraId="65C63970" w14:textId="77777777" w:rsidR="00CD156A" w:rsidRPr="004459F3" w:rsidRDefault="00CD156A" w:rsidP="00871353">
            <w:pPr>
              <w:spacing w:after="0" w:line="252" w:lineRule="auto"/>
              <w:ind w:right="113"/>
              <w:jc w:val="right"/>
              <w:rPr>
                <w:rFonts w:cstheme="minorHAnsi"/>
                <w:color w:val="000000"/>
                <w:sz w:val="20"/>
                <w:szCs w:val="20"/>
              </w:rPr>
            </w:pPr>
            <w:r w:rsidRPr="004459F3">
              <w:rPr>
                <w:rFonts w:cstheme="minorHAnsi"/>
                <w:color w:val="000000"/>
                <w:sz w:val="20"/>
                <w:szCs w:val="20"/>
              </w:rPr>
              <w:t>1 705</w:t>
            </w:r>
          </w:p>
        </w:tc>
        <w:tc>
          <w:tcPr>
            <w:tcW w:w="1134" w:type="dxa"/>
            <w:tcBorders>
              <w:top w:val="single" w:sz="8" w:space="0" w:color="auto"/>
              <w:left w:val="single" w:sz="8" w:space="0" w:color="auto"/>
            </w:tcBorders>
            <w:shd w:val="clear" w:color="auto" w:fill="auto"/>
            <w:vAlign w:val="center"/>
          </w:tcPr>
          <w:p w14:paraId="009663BE" w14:textId="1C3E8220"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366</w:t>
            </w:r>
          </w:p>
        </w:tc>
        <w:tc>
          <w:tcPr>
            <w:tcW w:w="1134" w:type="dxa"/>
            <w:tcBorders>
              <w:top w:val="single" w:sz="8" w:space="0" w:color="auto"/>
              <w:right w:val="single" w:sz="8" w:space="0" w:color="auto"/>
            </w:tcBorders>
            <w:shd w:val="clear" w:color="auto" w:fill="auto"/>
            <w:vAlign w:val="center"/>
          </w:tcPr>
          <w:p w14:paraId="247D32A3" w14:textId="77777777"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21,47</w:t>
            </w:r>
          </w:p>
        </w:tc>
        <w:tc>
          <w:tcPr>
            <w:tcW w:w="1134" w:type="dxa"/>
            <w:tcBorders>
              <w:top w:val="single" w:sz="8" w:space="0" w:color="auto"/>
              <w:left w:val="single" w:sz="8" w:space="0" w:color="auto"/>
            </w:tcBorders>
            <w:shd w:val="clear" w:color="auto" w:fill="auto"/>
            <w:vAlign w:val="center"/>
          </w:tcPr>
          <w:p w14:paraId="720C5D0C"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1 339</w:t>
            </w:r>
          </w:p>
        </w:tc>
        <w:tc>
          <w:tcPr>
            <w:tcW w:w="1125" w:type="dxa"/>
            <w:tcBorders>
              <w:top w:val="single" w:sz="8" w:space="0" w:color="auto"/>
              <w:right w:val="single" w:sz="8" w:space="0" w:color="auto"/>
            </w:tcBorders>
            <w:shd w:val="clear" w:color="auto" w:fill="auto"/>
            <w:vAlign w:val="center"/>
          </w:tcPr>
          <w:p w14:paraId="5F5A85CA"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78,53</w:t>
            </w:r>
          </w:p>
        </w:tc>
      </w:tr>
      <w:tr w:rsidR="00CD156A" w:rsidRPr="00447172" w14:paraId="6C5355E4" w14:textId="77777777" w:rsidTr="00871353">
        <w:trPr>
          <w:trHeight w:val="340"/>
        </w:trPr>
        <w:tc>
          <w:tcPr>
            <w:tcW w:w="907" w:type="dxa"/>
            <w:tcBorders>
              <w:left w:val="single" w:sz="8" w:space="0" w:color="auto"/>
            </w:tcBorders>
            <w:shd w:val="clear" w:color="auto" w:fill="auto"/>
            <w:noWrap/>
            <w:vAlign w:val="center"/>
            <w:hideMark/>
          </w:tcPr>
          <w:p w14:paraId="4DED88C2"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D35</w:t>
            </w:r>
          </w:p>
        </w:tc>
        <w:tc>
          <w:tcPr>
            <w:tcW w:w="1474" w:type="dxa"/>
            <w:shd w:val="clear" w:color="auto" w:fill="auto"/>
            <w:vAlign w:val="center"/>
          </w:tcPr>
          <w:p w14:paraId="2CA45391"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Olomouc</w:t>
            </w:r>
          </w:p>
        </w:tc>
        <w:tc>
          <w:tcPr>
            <w:tcW w:w="1020" w:type="dxa"/>
            <w:shd w:val="clear" w:color="auto" w:fill="auto"/>
            <w:vAlign w:val="center"/>
          </w:tcPr>
          <w:p w14:paraId="3726BA64"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03/2020</w:t>
            </w:r>
          </w:p>
        </w:tc>
        <w:tc>
          <w:tcPr>
            <w:tcW w:w="1134" w:type="dxa"/>
            <w:tcBorders>
              <w:right w:val="single" w:sz="8" w:space="0" w:color="auto"/>
            </w:tcBorders>
            <w:shd w:val="clear" w:color="auto" w:fill="auto"/>
            <w:noWrap/>
            <w:vAlign w:val="center"/>
          </w:tcPr>
          <w:p w14:paraId="63C96A90" w14:textId="77777777" w:rsidR="00CD156A" w:rsidRPr="004459F3" w:rsidRDefault="00CD156A" w:rsidP="00871353">
            <w:pPr>
              <w:spacing w:after="0" w:line="252" w:lineRule="auto"/>
              <w:ind w:right="113"/>
              <w:jc w:val="right"/>
              <w:rPr>
                <w:rFonts w:cstheme="minorHAnsi"/>
                <w:color w:val="000000"/>
                <w:sz w:val="20"/>
                <w:szCs w:val="20"/>
              </w:rPr>
            </w:pPr>
            <w:r w:rsidRPr="004459F3">
              <w:rPr>
                <w:rFonts w:cstheme="minorHAnsi"/>
                <w:color w:val="000000"/>
                <w:sz w:val="20"/>
                <w:szCs w:val="20"/>
              </w:rPr>
              <w:t>1 645</w:t>
            </w:r>
          </w:p>
        </w:tc>
        <w:tc>
          <w:tcPr>
            <w:tcW w:w="1134" w:type="dxa"/>
            <w:tcBorders>
              <w:left w:val="single" w:sz="8" w:space="0" w:color="auto"/>
            </w:tcBorders>
            <w:shd w:val="clear" w:color="auto" w:fill="auto"/>
            <w:vAlign w:val="center"/>
          </w:tcPr>
          <w:p w14:paraId="410A0728" w14:textId="2512CF95"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306</w:t>
            </w:r>
          </w:p>
        </w:tc>
        <w:tc>
          <w:tcPr>
            <w:tcW w:w="1134" w:type="dxa"/>
            <w:tcBorders>
              <w:right w:val="single" w:sz="8" w:space="0" w:color="auto"/>
            </w:tcBorders>
            <w:shd w:val="clear" w:color="auto" w:fill="auto"/>
            <w:vAlign w:val="center"/>
          </w:tcPr>
          <w:p w14:paraId="38C15223" w14:textId="77777777"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18,60</w:t>
            </w:r>
          </w:p>
        </w:tc>
        <w:tc>
          <w:tcPr>
            <w:tcW w:w="1134" w:type="dxa"/>
            <w:tcBorders>
              <w:left w:val="single" w:sz="8" w:space="0" w:color="auto"/>
            </w:tcBorders>
            <w:shd w:val="clear" w:color="auto" w:fill="auto"/>
            <w:vAlign w:val="center"/>
          </w:tcPr>
          <w:p w14:paraId="6B78E2ED"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1 339</w:t>
            </w:r>
          </w:p>
        </w:tc>
        <w:tc>
          <w:tcPr>
            <w:tcW w:w="1125" w:type="dxa"/>
            <w:tcBorders>
              <w:right w:val="single" w:sz="8" w:space="0" w:color="auto"/>
            </w:tcBorders>
            <w:shd w:val="clear" w:color="auto" w:fill="auto"/>
            <w:vAlign w:val="center"/>
          </w:tcPr>
          <w:p w14:paraId="17A6929D"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81,40</w:t>
            </w:r>
          </w:p>
        </w:tc>
      </w:tr>
      <w:tr w:rsidR="00CD156A" w:rsidRPr="00447172" w14:paraId="2872BE99" w14:textId="77777777" w:rsidTr="00871353">
        <w:trPr>
          <w:trHeight w:val="340"/>
        </w:trPr>
        <w:tc>
          <w:tcPr>
            <w:tcW w:w="907" w:type="dxa"/>
            <w:tcBorders>
              <w:left w:val="single" w:sz="8" w:space="0" w:color="auto"/>
            </w:tcBorders>
            <w:shd w:val="clear" w:color="auto" w:fill="auto"/>
            <w:noWrap/>
            <w:vAlign w:val="center"/>
            <w:hideMark/>
          </w:tcPr>
          <w:p w14:paraId="54130942"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D2</w:t>
            </w:r>
          </w:p>
        </w:tc>
        <w:tc>
          <w:tcPr>
            <w:tcW w:w="1474" w:type="dxa"/>
            <w:shd w:val="clear" w:color="auto" w:fill="auto"/>
            <w:vAlign w:val="center"/>
          </w:tcPr>
          <w:p w14:paraId="79570583"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Židlochovice</w:t>
            </w:r>
          </w:p>
        </w:tc>
        <w:tc>
          <w:tcPr>
            <w:tcW w:w="1020" w:type="dxa"/>
            <w:shd w:val="clear" w:color="auto" w:fill="auto"/>
            <w:vAlign w:val="center"/>
          </w:tcPr>
          <w:p w14:paraId="1A7B58F2"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11/2021</w:t>
            </w:r>
          </w:p>
        </w:tc>
        <w:tc>
          <w:tcPr>
            <w:tcW w:w="1134" w:type="dxa"/>
            <w:tcBorders>
              <w:right w:val="single" w:sz="8" w:space="0" w:color="auto"/>
            </w:tcBorders>
            <w:shd w:val="clear" w:color="auto" w:fill="auto"/>
            <w:noWrap/>
            <w:vAlign w:val="center"/>
          </w:tcPr>
          <w:p w14:paraId="090FF430" w14:textId="77777777" w:rsidR="00CD156A" w:rsidRPr="004459F3" w:rsidRDefault="00CD156A" w:rsidP="00871353">
            <w:pPr>
              <w:spacing w:after="0" w:line="252" w:lineRule="auto"/>
              <w:ind w:right="113"/>
              <w:jc w:val="right"/>
              <w:rPr>
                <w:rFonts w:cstheme="minorHAnsi"/>
                <w:color w:val="000000"/>
                <w:sz w:val="20"/>
                <w:szCs w:val="20"/>
              </w:rPr>
            </w:pPr>
            <w:r w:rsidRPr="004459F3">
              <w:rPr>
                <w:rFonts w:cstheme="minorHAnsi"/>
                <w:color w:val="000000"/>
                <w:sz w:val="20"/>
                <w:szCs w:val="20"/>
              </w:rPr>
              <w:t>1 035</w:t>
            </w:r>
          </w:p>
        </w:tc>
        <w:tc>
          <w:tcPr>
            <w:tcW w:w="1134" w:type="dxa"/>
            <w:tcBorders>
              <w:left w:val="single" w:sz="8" w:space="0" w:color="auto"/>
            </w:tcBorders>
            <w:shd w:val="clear" w:color="auto" w:fill="auto"/>
            <w:vAlign w:val="center"/>
          </w:tcPr>
          <w:p w14:paraId="441798B9" w14:textId="5DB24551"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792</w:t>
            </w:r>
          </w:p>
        </w:tc>
        <w:tc>
          <w:tcPr>
            <w:tcW w:w="1134" w:type="dxa"/>
            <w:tcBorders>
              <w:right w:val="single" w:sz="8" w:space="0" w:color="auto"/>
            </w:tcBorders>
            <w:shd w:val="clear" w:color="auto" w:fill="auto"/>
            <w:vAlign w:val="center"/>
          </w:tcPr>
          <w:p w14:paraId="584ACF64" w14:textId="77777777"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76,52</w:t>
            </w:r>
          </w:p>
        </w:tc>
        <w:tc>
          <w:tcPr>
            <w:tcW w:w="1134" w:type="dxa"/>
            <w:tcBorders>
              <w:left w:val="single" w:sz="8" w:space="0" w:color="auto"/>
            </w:tcBorders>
            <w:shd w:val="clear" w:color="auto" w:fill="auto"/>
            <w:vAlign w:val="center"/>
          </w:tcPr>
          <w:p w14:paraId="49031588" w14:textId="1B1A2B7D"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243</w:t>
            </w:r>
          </w:p>
        </w:tc>
        <w:tc>
          <w:tcPr>
            <w:tcW w:w="1125" w:type="dxa"/>
            <w:tcBorders>
              <w:right w:val="single" w:sz="8" w:space="0" w:color="auto"/>
            </w:tcBorders>
            <w:shd w:val="clear" w:color="auto" w:fill="auto"/>
            <w:vAlign w:val="center"/>
          </w:tcPr>
          <w:p w14:paraId="165DD2F5"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23,48</w:t>
            </w:r>
          </w:p>
        </w:tc>
      </w:tr>
      <w:tr w:rsidR="00CD156A" w:rsidRPr="00447172" w14:paraId="13685878" w14:textId="77777777" w:rsidTr="00871353">
        <w:trPr>
          <w:trHeight w:val="340"/>
        </w:trPr>
        <w:tc>
          <w:tcPr>
            <w:tcW w:w="907" w:type="dxa"/>
            <w:tcBorders>
              <w:left w:val="single" w:sz="8" w:space="0" w:color="auto"/>
            </w:tcBorders>
            <w:shd w:val="clear" w:color="auto" w:fill="auto"/>
            <w:noWrap/>
            <w:vAlign w:val="center"/>
            <w:hideMark/>
          </w:tcPr>
          <w:p w14:paraId="5506B2E5"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D8</w:t>
            </w:r>
          </w:p>
        </w:tc>
        <w:tc>
          <w:tcPr>
            <w:tcW w:w="1474" w:type="dxa"/>
            <w:shd w:val="clear" w:color="auto" w:fill="auto"/>
            <w:vAlign w:val="center"/>
          </w:tcPr>
          <w:p w14:paraId="7D09E7AF"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Lovosice</w:t>
            </w:r>
          </w:p>
        </w:tc>
        <w:tc>
          <w:tcPr>
            <w:tcW w:w="1020" w:type="dxa"/>
            <w:shd w:val="clear" w:color="auto" w:fill="auto"/>
            <w:vAlign w:val="center"/>
          </w:tcPr>
          <w:p w14:paraId="000A2561"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02/2022</w:t>
            </w:r>
          </w:p>
        </w:tc>
        <w:tc>
          <w:tcPr>
            <w:tcW w:w="1134" w:type="dxa"/>
            <w:tcBorders>
              <w:right w:val="single" w:sz="8" w:space="0" w:color="auto"/>
            </w:tcBorders>
            <w:shd w:val="clear" w:color="auto" w:fill="auto"/>
            <w:noWrap/>
            <w:vAlign w:val="center"/>
          </w:tcPr>
          <w:p w14:paraId="2048B702" w14:textId="560325F0" w:rsidR="00CD156A" w:rsidRPr="004459F3" w:rsidRDefault="00CD156A" w:rsidP="00871353">
            <w:pPr>
              <w:spacing w:after="0" w:line="252" w:lineRule="auto"/>
              <w:ind w:right="113"/>
              <w:jc w:val="right"/>
              <w:rPr>
                <w:rFonts w:cstheme="minorHAnsi"/>
                <w:color w:val="000000"/>
                <w:sz w:val="20"/>
                <w:szCs w:val="20"/>
              </w:rPr>
            </w:pPr>
            <w:r w:rsidRPr="004459F3">
              <w:rPr>
                <w:rFonts w:cstheme="minorHAnsi"/>
                <w:color w:val="000000"/>
                <w:sz w:val="20"/>
                <w:szCs w:val="20"/>
              </w:rPr>
              <w:t>943</w:t>
            </w:r>
          </w:p>
        </w:tc>
        <w:tc>
          <w:tcPr>
            <w:tcW w:w="1134" w:type="dxa"/>
            <w:tcBorders>
              <w:left w:val="single" w:sz="8" w:space="0" w:color="auto"/>
            </w:tcBorders>
            <w:shd w:val="clear" w:color="auto" w:fill="auto"/>
            <w:vAlign w:val="center"/>
          </w:tcPr>
          <w:p w14:paraId="20A1871F" w14:textId="51D3459F"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394</w:t>
            </w:r>
          </w:p>
        </w:tc>
        <w:tc>
          <w:tcPr>
            <w:tcW w:w="1134" w:type="dxa"/>
            <w:tcBorders>
              <w:right w:val="single" w:sz="8" w:space="0" w:color="auto"/>
            </w:tcBorders>
            <w:shd w:val="clear" w:color="auto" w:fill="auto"/>
            <w:vAlign w:val="center"/>
          </w:tcPr>
          <w:p w14:paraId="6FC964A2" w14:textId="77777777"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41,78</w:t>
            </w:r>
          </w:p>
        </w:tc>
        <w:tc>
          <w:tcPr>
            <w:tcW w:w="1134" w:type="dxa"/>
            <w:tcBorders>
              <w:left w:val="single" w:sz="8" w:space="0" w:color="auto"/>
            </w:tcBorders>
            <w:shd w:val="clear" w:color="auto" w:fill="auto"/>
            <w:vAlign w:val="center"/>
          </w:tcPr>
          <w:p w14:paraId="1C2699C8" w14:textId="3122D202"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549</w:t>
            </w:r>
          </w:p>
        </w:tc>
        <w:tc>
          <w:tcPr>
            <w:tcW w:w="1125" w:type="dxa"/>
            <w:tcBorders>
              <w:right w:val="single" w:sz="8" w:space="0" w:color="auto"/>
            </w:tcBorders>
            <w:shd w:val="clear" w:color="auto" w:fill="auto"/>
            <w:vAlign w:val="center"/>
          </w:tcPr>
          <w:p w14:paraId="0FE65C1C"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58,22</w:t>
            </w:r>
          </w:p>
        </w:tc>
      </w:tr>
      <w:tr w:rsidR="00240FFF" w:rsidRPr="00447172" w14:paraId="5B538C44" w14:textId="77777777" w:rsidTr="00871353">
        <w:trPr>
          <w:trHeight w:val="340"/>
        </w:trPr>
        <w:tc>
          <w:tcPr>
            <w:tcW w:w="907" w:type="dxa"/>
            <w:tcBorders>
              <w:left w:val="single" w:sz="8" w:space="0" w:color="auto"/>
            </w:tcBorders>
            <w:shd w:val="clear" w:color="auto" w:fill="auto"/>
            <w:noWrap/>
            <w:vAlign w:val="center"/>
            <w:hideMark/>
          </w:tcPr>
          <w:p w14:paraId="2516B336"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D1</w:t>
            </w:r>
          </w:p>
        </w:tc>
        <w:tc>
          <w:tcPr>
            <w:tcW w:w="1474" w:type="dxa"/>
            <w:shd w:val="clear" w:color="auto" w:fill="auto"/>
            <w:vAlign w:val="center"/>
          </w:tcPr>
          <w:p w14:paraId="72E5DA42"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Jihlava</w:t>
            </w:r>
          </w:p>
        </w:tc>
        <w:tc>
          <w:tcPr>
            <w:tcW w:w="1020" w:type="dxa"/>
            <w:shd w:val="clear" w:color="auto" w:fill="auto"/>
            <w:vAlign w:val="center"/>
          </w:tcPr>
          <w:p w14:paraId="76F3064B"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03/2022</w:t>
            </w:r>
          </w:p>
        </w:tc>
        <w:tc>
          <w:tcPr>
            <w:tcW w:w="1134" w:type="dxa"/>
            <w:tcBorders>
              <w:right w:val="single" w:sz="8" w:space="0" w:color="auto"/>
            </w:tcBorders>
            <w:shd w:val="clear" w:color="auto" w:fill="auto"/>
            <w:noWrap/>
            <w:vAlign w:val="center"/>
          </w:tcPr>
          <w:p w14:paraId="64454FDF" w14:textId="1FDF6A20" w:rsidR="00240FFF" w:rsidRPr="004459F3" w:rsidRDefault="00240FFF" w:rsidP="00871353">
            <w:pPr>
              <w:spacing w:after="0" w:line="252" w:lineRule="auto"/>
              <w:ind w:right="113"/>
              <w:jc w:val="right"/>
              <w:rPr>
                <w:rFonts w:cstheme="minorHAnsi"/>
                <w:color w:val="000000"/>
                <w:sz w:val="20"/>
                <w:szCs w:val="20"/>
              </w:rPr>
            </w:pPr>
            <w:r w:rsidRPr="004459F3">
              <w:rPr>
                <w:rFonts w:cstheme="minorHAnsi"/>
                <w:color w:val="000000"/>
                <w:sz w:val="20"/>
                <w:szCs w:val="20"/>
              </w:rPr>
              <w:t>915</w:t>
            </w:r>
          </w:p>
        </w:tc>
        <w:tc>
          <w:tcPr>
            <w:tcW w:w="1134" w:type="dxa"/>
            <w:tcBorders>
              <w:left w:val="single" w:sz="8" w:space="0" w:color="auto"/>
            </w:tcBorders>
            <w:shd w:val="clear" w:color="auto" w:fill="auto"/>
            <w:vAlign w:val="center"/>
          </w:tcPr>
          <w:p w14:paraId="52161C1E" w14:textId="58F70778" w:rsidR="00240FFF" w:rsidRPr="004459F3" w:rsidRDefault="00240FFF" w:rsidP="00871353">
            <w:pPr>
              <w:spacing w:after="0" w:line="252" w:lineRule="auto"/>
              <w:ind w:right="113"/>
              <w:jc w:val="right"/>
              <w:rPr>
                <w:rFonts w:cstheme="minorHAnsi"/>
                <w:color w:val="00B050"/>
                <w:sz w:val="20"/>
                <w:szCs w:val="20"/>
              </w:rPr>
            </w:pPr>
            <w:r w:rsidRPr="004459F3">
              <w:rPr>
                <w:rFonts w:cstheme="minorHAnsi"/>
                <w:color w:val="00B050"/>
                <w:sz w:val="20"/>
                <w:szCs w:val="20"/>
              </w:rPr>
              <w:t>418</w:t>
            </w:r>
          </w:p>
        </w:tc>
        <w:tc>
          <w:tcPr>
            <w:tcW w:w="1134" w:type="dxa"/>
            <w:tcBorders>
              <w:right w:val="single" w:sz="8" w:space="0" w:color="auto"/>
            </w:tcBorders>
            <w:shd w:val="clear" w:color="auto" w:fill="auto"/>
            <w:vAlign w:val="center"/>
          </w:tcPr>
          <w:p w14:paraId="35417946" w14:textId="77777777" w:rsidR="00240FFF" w:rsidRPr="004459F3" w:rsidRDefault="00240FFF" w:rsidP="00871353">
            <w:pPr>
              <w:spacing w:after="0" w:line="252" w:lineRule="auto"/>
              <w:ind w:right="113"/>
              <w:jc w:val="right"/>
              <w:rPr>
                <w:rFonts w:cstheme="minorHAnsi"/>
                <w:color w:val="00B050"/>
                <w:sz w:val="20"/>
                <w:szCs w:val="20"/>
              </w:rPr>
            </w:pPr>
            <w:r w:rsidRPr="004459F3">
              <w:rPr>
                <w:rFonts w:cstheme="minorHAnsi"/>
                <w:color w:val="00B050"/>
                <w:sz w:val="20"/>
                <w:szCs w:val="20"/>
              </w:rPr>
              <w:t>45,68</w:t>
            </w:r>
          </w:p>
        </w:tc>
        <w:tc>
          <w:tcPr>
            <w:tcW w:w="1134" w:type="dxa"/>
            <w:tcBorders>
              <w:left w:val="single" w:sz="8" w:space="0" w:color="auto"/>
            </w:tcBorders>
            <w:shd w:val="clear" w:color="auto" w:fill="auto"/>
            <w:vAlign w:val="center"/>
          </w:tcPr>
          <w:p w14:paraId="2BD64C1F" w14:textId="17E66921" w:rsidR="00240FFF" w:rsidRPr="004459F3" w:rsidRDefault="00240FFF" w:rsidP="00871353">
            <w:pPr>
              <w:spacing w:after="0" w:line="252" w:lineRule="auto"/>
              <w:ind w:right="113"/>
              <w:jc w:val="right"/>
              <w:rPr>
                <w:rFonts w:cstheme="minorHAnsi"/>
                <w:color w:val="FF0000"/>
                <w:sz w:val="20"/>
                <w:szCs w:val="20"/>
              </w:rPr>
            </w:pPr>
            <w:r w:rsidRPr="004459F3">
              <w:rPr>
                <w:rFonts w:cstheme="minorHAnsi"/>
                <w:color w:val="FF0000"/>
                <w:sz w:val="20"/>
                <w:szCs w:val="20"/>
              </w:rPr>
              <w:t>497</w:t>
            </w:r>
          </w:p>
        </w:tc>
        <w:tc>
          <w:tcPr>
            <w:tcW w:w="1125" w:type="dxa"/>
            <w:tcBorders>
              <w:right w:val="single" w:sz="8" w:space="0" w:color="auto"/>
            </w:tcBorders>
            <w:shd w:val="clear" w:color="auto" w:fill="auto"/>
            <w:vAlign w:val="center"/>
          </w:tcPr>
          <w:p w14:paraId="573304FF" w14:textId="77777777" w:rsidR="00240FFF" w:rsidRPr="004459F3" w:rsidRDefault="00240FFF" w:rsidP="00871353">
            <w:pPr>
              <w:spacing w:after="0" w:line="252" w:lineRule="auto"/>
              <w:ind w:right="113"/>
              <w:jc w:val="right"/>
              <w:rPr>
                <w:rFonts w:cstheme="minorHAnsi"/>
                <w:color w:val="FF0000"/>
                <w:sz w:val="20"/>
                <w:szCs w:val="20"/>
              </w:rPr>
            </w:pPr>
            <w:r w:rsidRPr="004459F3">
              <w:rPr>
                <w:rFonts w:cstheme="minorHAnsi"/>
                <w:color w:val="FF0000"/>
                <w:sz w:val="20"/>
                <w:szCs w:val="20"/>
              </w:rPr>
              <w:t>54,32</w:t>
            </w:r>
          </w:p>
        </w:tc>
      </w:tr>
      <w:tr w:rsidR="00CD156A" w:rsidRPr="00447172" w14:paraId="249785B1" w14:textId="77777777" w:rsidTr="00871353">
        <w:trPr>
          <w:trHeight w:val="340"/>
        </w:trPr>
        <w:tc>
          <w:tcPr>
            <w:tcW w:w="907" w:type="dxa"/>
            <w:tcBorders>
              <w:left w:val="single" w:sz="8" w:space="0" w:color="auto"/>
            </w:tcBorders>
            <w:shd w:val="clear" w:color="auto" w:fill="auto"/>
            <w:noWrap/>
            <w:vAlign w:val="center"/>
            <w:hideMark/>
          </w:tcPr>
          <w:p w14:paraId="2F39008B"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D48</w:t>
            </w:r>
          </w:p>
        </w:tc>
        <w:tc>
          <w:tcPr>
            <w:tcW w:w="1474" w:type="dxa"/>
            <w:shd w:val="clear" w:color="auto" w:fill="auto"/>
            <w:vAlign w:val="center"/>
          </w:tcPr>
          <w:p w14:paraId="38D6A74B"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Frýdek-Místek</w:t>
            </w:r>
          </w:p>
        </w:tc>
        <w:tc>
          <w:tcPr>
            <w:tcW w:w="1020" w:type="dxa"/>
            <w:shd w:val="clear" w:color="auto" w:fill="auto"/>
            <w:vAlign w:val="center"/>
          </w:tcPr>
          <w:p w14:paraId="1DDCB713" w14:textId="77777777" w:rsidR="00CD156A" w:rsidRPr="004459F3" w:rsidRDefault="00CD156A" w:rsidP="00871353">
            <w:pPr>
              <w:spacing w:after="0" w:line="252" w:lineRule="auto"/>
              <w:jc w:val="center"/>
              <w:rPr>
                <w:rFonts w:cstheme="minorHAnsi"/>
                <w:color w:val="000000"/>
                <w:sz w:val="20"/>
                <w:szCs w:val="20"/>
              </w:rPr>
            </w:pPr>
            <w:r w:rsidRPr="004459F3">
              <w:rPr>
                <w:rFonts w:cstheme="minorHAnsi"/>
                <w:color w:val="000000"/>
                <w:sz w:val="20"/>
                <w:szCs w:val="20"/>
              </w:rPr>
              <w:t>09/2023</w:t>
            </w:r>
          </w:p>
        </w:tc>
        <w:tc>
          <w:tcPr>
            <w:tcW w:w="1134" w:type="dxa"/>
            <w:tcBorders>
              <w:right w:val="single" w:sz="8" w:space="0" w:color="auto"/>
            </w:tcBorders>
            <w:shd w:val="clear" w:color="auto" w:fill="auto"/>
            <w:noWrap/>
            <w:vAlign w:val="center"/>
          </w:tcPr>
          <w:p w14:paraId="37680AAD" w14:textId="7D5BC4FE" w:rsidR="00CD156A" w:rsidRPr="004459F3" w:rsidRDefault="00CD156A" w:rsidP="00871353">
            <w:pPr>
              <w:spacing w:after="0" w:line="252" w:lineRule="auto"/>
              <w:ind w:right="113"/>
              <w:jc w:val="right"/>
              <w:rPr>
                <w:rFonts w:cstheme="minorHAnsi"/>
                <w:color w:val="000000"/>
                <w:sz w:val="20"/>
                <w:szCs w:val="20"/>
              </w:rPr>
            </w:pPr>
            <w:r w:rsidRPr="004459F3">
              <w:rPr>
                <w:rFonts w:cstheme="minorHAnsi"/>
                <w:color w:val="000000"/>
                <w:sz w:val="20"/>
                <w:szCs w:val="20"/>
              </w:rPr>
              <w:t>366</w:t>
            </w:r>
          </w:p>
        </w:tc>
        <w:tc>
          <w:tcPr>
            <w:tcW w:w="1134" w:type="dxa"/>
            <w:tcBorders>
              <w:left w:val="single" w:sz="8" w:space="0" w:color="auto"/>
            </w:tcBorders>
            <w:shd w:val="clear" w:color="auto" w:fill="auto"/>
            <w:vAlign w:val="center"/>
          </w:tcPr>
          <w:p w14:paraId="2D6E6039" w14:textId="44A13258"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288</w:t>
            </w:r>
          </w:p>
        </w:tc>
        <w:tc>
          <w:tcPr>
            <w:tcW w:w="1134" w:type="dxa"/>
            <w:tcBorders>
              <w:right w:val="single" w:sz="8" w:space="0" w:color="auto"/>
            </w:tcBorders>
            <w:shd w:val="clear" w:color="auto" w:fill="auto"/>
            <w:vAlign w:val="center"/>
          </w:tcPr>
          <w:p w14:paraId="7E6E2838" w14:textId="77777777" w:rsidR="00CD156A" w:rsidRPr="004459F3" w:rsidRDefault="00CD156A" w:rsidP="00871353">
            <w:pPr>
              <w:spacing w:after="0" w:line="252" w:lineRule="auto"/>
              <w:ind w:right="113"/>
              <w:jc w:val="right"/>
              <w:rPr>
                <w:rFonts w:cstheme="minorHAnsi"/>
                <w:color w:val="00B050"/>
                <w:sz w:val="20"/>
                <w:szCs w:val="20"/>
              </w:rPr>
            </w:pPr>
            <w:r w:rsidRPr="004459F3">
              <w:rPr>
                <w:rFonts w:cstheme="minorHAnsi"/>
                <w:color w:val="00B050"/>
                <w:sz w:val="20"/>
                <w:szCs w:val="20"/>
              </w:rPr>
              <w:t>78,69</w:t>
            </w:r>
          </w:p>
        </w:tc>
        <w:tc>
          <w:tcPr>
            <w:tcW w:w="1134" w:type="dxa"/>
            <w:tcBorders>
              <w:left w:val="single" w:sz="8" w:space="0" w:color="auto"/>
            </w:tcBorders>
            <w:shd w:val="clear" w:color="auto" w:fill="auto"/>
            <w:vAlign w:val="center"/>
          </w:tcPr>
          <w:p w14:paraId="6309F16A" w14:textId="77152D5C"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78</w:t>
            </w:r>
          </w:p>
        </w:tc>
        <w:tc>
          <w:tcPr>
            <w:tcW w:w="1125" w:type="dxa"/>
            <w:tcBorders>
              <w:right w:val="single" w:sz="8" w:space="0" w:color="auto"/>
            </w:tcBorders>
            <w:shd w:val="clear" w:color="auto" w:fill="auto"/>
            <w:vAlign w:val="center"/>
          </w:tcPr>
          <w:p w14:paraId="0F7F6021" w14:textId="77777777" w:rsidR="00CD156A" w:rsidRPr="004459F3" w:rsidRDefault="00CD156A" w:rsidP="00871353">
            <w:pPr>
              <w:spacing w:after="0" w:line="252" w:lineRule="auto"/>
              <w:ind w:right="113"/>
              <w:jc w:val="right"/>
              <w:rPr>
                <w:rFonts w:cstheme="minorHAnsi"/>
                <w:color w:val="FF0000"/>
                <w:sz w:val="20"/>
                <w:szCs w:val="20"/>
              </w:rPr>
            </w:pPr>
            <w:r w:rsidRPr="004459F3">
              <w:rPr>
                <w:rFonts w:cstheme="minorHAnsi"/>
                <w:color w:val="FF0000"/>
                <w:sz w:val="20"/>
                <w:szCs w:val="20"/>
              </w:rPr>
              <w:t>21,31</w:t>
            </w:r>
          </w:p>
        </w:tc>
      </w:tr>
      <w:tr w:rsidR="00240FFF" w:rsidRPr="00447172" w14:paraId="434C6D14" w14:textId="77777777" w:rsidTr="00871353">
        <w:trPr>
          <w:trHeight w:val="340"/>
        </w:trPr>
        <w:tc>
          <w:tcPr>
            <w:tcW w:w="907" w:type="dxa"/>
            <w:tcBorders>
              <w:left w:val="single" w:sz="8" w:space="0" w:color="auto"/>
              <w:bottom w:val="single" w:sz="8" w:space="0" w:color="auto"/>
            </w:tcBorders>
            <w:shd w:val="clear" w:color="auto" w:fill="auto"/>
            <w:noWrap/>
            <w:vAlign w:val="center"/>
            <w:hideMark/>
          </w:tcPr>
          <w:p w14:paraId="63F09783"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D4</w:t>
            </w:r>
          </w:p>
        </w:tc>
        <w:tc>
          <w:tcPr>
            <w:tcW w:w="1474" w:type="dxa"/>
            <w:tcBorders>
              <w:bottom w:val="single" w:sz="8" w:space="0" w:color="auto"/>
            </w:tcBorders>
            <w:shd w:val="clear" w:color="auto" w:fill="auto"/>
            <w:vAlign w:val="center"/>
          </w:tcPr>
          <w:p w14:paraId="1FF16FFB"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Černošice</w:t>
            </w:r>
          </w:p>
        </w:tc>
        <w:tc>
          <w:tcPr>
            <w:tcW w:w="1020" w:type="dxa"/>
            <w:tcBorders>
              <w:bottom w:val="single" w:sz="8" w:space="0" w:color="auto"/>
            </w:tcBorders>
            <w:shd w:val="clear" w:color="auto" w:fill="auto"/>
            <w:vAlign w:val="center"/>
          </w:tcPr>
          <w:p w14:paraId="0C61BF89" w14:textId="77777777" w:rsidR="00240FFF" w:rsidRPr="004459F3" w:rsidRDefault="00240FFF" w:rsidP="00871353">
            <w:pPr>
              <w:spacing w:after="0" w:line="252" w:lineRule="auto"/>
              <w:jc w:val="center"/>
              <w:rPr>
                <w:rFonts w:cstheme="minorHAnsi"/>
                <w:color w:val="000000"/>
                <w:sz w:val="20"/>
                <w:szCs w:val="20"/>
              </w:rPr>
            </w:pPr>
            <w:r w:rsidRPr="004459F3">
              <w:rPr>
                <w:rFonts w:cstheme="minorHAnsi"/>
                <w:color w:val="000000"/>
                <w:sz w:val="20"/>
                <w:szCs w:val="20"/>
              </w:rPr>
              <w:t>04/2024</w:t>
            </w:r>
          </w:p>
        </w:tc>
        <w:tc>
          <w:tcPr>
            <w:tcW w:w="1134" w:type="dxa"/>
            <w:tcBorders>
              <w:bottom w:val="single" w:sz="8" w:space="0" w:color="auto"/>
              <w:right w:val="single" w:sz="8" w:space="0" w:color="auto"/>
            </w:tcBorders>
            <w:shd w:val="clear" w:color="auto" w:fill="auto"/>
            <w:noWrap/>
            <w:vAlign w:val="center"/>
          </w:tcPr>
          <w:p w14:paraId="1CFDABF6" w14:textId="027A28FF" w:rsidR="00240FFF" w:rsidRPr="004459F3" w:rsidRDefault="00240FFF" w:rsidP="00871353">
            <w:pPr>
              <w:spacing w:after="0" w:line="252" w:lineRule="auto"/>
              <w:ind w:right="113"/>
              <w:jc w:val="right"/>
              <w:rPr>
                <w:rFonts w:cstheme="minorHAnsi"/>
                <w:color w:val="000000"/>
                <w:sz w:val="20"/>
                <w:szCs w:val="20"/>
              </w:rPr>
            </w:pPr>
            <w:r w:rsidRPr="004459F3">
              <w:rPr>
                <w:rFonts w:cstheme="minorHAnsi"/>
                <w:color w:val="000000"/>
                <w:sz w:val="20"/>
                <w:szCs w:val="20"/>
              </w:rPr>
              <w:t>153</w:t>
            </w:r>
          </w:p>
        </w:tc>
        <w:tc>
          <w:tcPr>
            <w:tcW w:w="1134" w:type="dxa"/>
            <w:tcBorders>
              <w:left w:val="single" w:sz="8" w:space="0" w:color="auto"/>
              <w:bottom w:val="single" w:sz="8" w:space="0" w:color="auto"/>
            </w:tcBorders>
            <w:shd w:val="clear" w:color="auto" w:fill="auto"/>
            <w:vAlign w:val="center"/>
          </w:tcPr>
          <w:p w14:paraId="4ABAB0E4" w14:textId="23837ACE" w:rsidR="00240FFF" w:rsidRPr="004459F3" w:rsidRDefault="00240FFF" w:rsidP="00871353">
            <w:pPr>
              <w:spacing w:after="0" w:line="252" w:lineRule="auto"/>
              <w:ind w:right="113"/>
              <w:jc w:val="right"/>
              <w:rPr>
                <w:rFonts w:cstheme="minorHAnsi"/>
                <w:color w:val="00B050"/>
                <w:sz w:val="20"/>
                <w:szCs w:val="20"/>
              </w:rPr>
            </w:pPr>
            <w:r w:rsidRPr="004459F3">
              <w:rPr>
                <w:rFonts w:cstheme="minorHAnsi"/>
                <w:color w:val="00B050"/>
                <w:sz w:val="20"/>
                <w:szCs w:val="20"/>
              </w:rPr>
              <w:t>91</w:t>
            </w:r>
          </w:p>
        </w:tc>
        <w:tc>
          <w:tcPr>
            <w:tcW w:w="1134" w:type="dxa"/>
            <w:tcBorders>
              <w:bottom w:val="single" w:sz="8" w:space="0" w:color="auto"/>
              <w:right w:val="single" w:sz="8" w:space="0" w:color="auto"/>
            </w:tcBorders>
            <w:shd w:val="clear" w:color="auto" w:fill="auto"/>
            <w:vAlign w:val="center"/>
          </w:tcPr>
          <w:p w14:paraId="77210154" w14:textId="77777777" w:rsidR="00240FFF" w:rsidRPr="004459F3" w:rsidRDefault="00240FFF" w:rsidP="00871353">
            <w:pPr>
              <w:spacing w:after="0" w:line="252" w:lineRule="auto"/>
              <w:ind w:right="113"/>
              <w:jc w:val="right"/>
              <w:rPr>
                <w:rFonts w:cstheme="minorHAnsi"/>
                <w:color w:val="00B050"/>
                <w:sz w:val="20"/>
                <w:szCs w:val="20"/>
              </w:rPr>
            </w:pPr>
            <w:r w:rsidRPr="004459F3">
              <w:rPr>
                <w:rFonts w:cstheme="minorHAnsi"/>
                <w:color w:val="00B050"/>
                <w:sz w:val="20"/>
                <w:szCs w:val="20"/>
              </w:rPr>
              <w:t>59,48</w:t>
            </w:r>
          </w:p>
        </w:tc>
        <w:tc>
          <w:tcPr>
            <w:tcW w:w="1134" w:type="dxa"/>
            <w:tcBorders>
              <w:left w:val="single" w:sz="8" w:space="0" w:color="auto"/>
              <w:bottom w:val="single" w:sz="8" w:space="0" w:color="auto"/>
            </w:tcBorders>
            <w:shd w:val="clear" w:color="auto" w:fill="auto"/>
            <w:vAlign w:val="center"/>
          </w:tcPr>
          <w:p w14:paraId="483CDFF0" w14:textId="060B0536" w:rsidR="00240FFF" w:rsidRPr="004459F3" w:rsidRDefault="00240FFF" w:rsidP="00871353">
            <w:pPr>
              <w:spacing w:after="0" w:line="252" w:lineRule="auto"/>
              <w:ind w:right="113"/>
              <w:jc w:val="right"/>
              <w:rPr>
                <w:rFonts w:cstheme="minorHAnsi"/>
                <w:color w:val="FF0000"/>
                <w:sz w:val="20"/>
                <w:szCs w:val="20"/>
              </w:rPr>
            </w:pPr>
            <w:r w:rsidRPr="004459F3">
              <w:rPr>
                <w:rFonts w:cstheme="minorHAnsi"/>
                <w:color w:val="FF0000"/>
                <w:sz w:val="20"/>
                <w:szCs w:val="20"/>
              </w:rPr>
              <w:t>62</w:t>
            </w:r>
          </w:p>
        </w:tc>
        <w:tc>
          <w:tcPr>
            <w:tcW w:w="1125" w:type="dxa"/>
            <w:tcBorders>
              <w:bottom w:val="single" w:sz="8" w:space="0" w:color="auto"/>
              <w:right w:val="single" w:sz="8" w:space="0" w:color="auto"/>
            </w:tcBorders>
            <w:shd w:val="clear" w:color="auto" w:fill="auto"/>
            <w:vAlign w:val="center"/>
          </w:tcPr>
          <w:p w14:paraId="6267CDBB" w14:textId="77777777" w:rsidR="00240FFF" w:rsidRPr="004459F3" w:rsidRDefault="00240FFF" w:rsidP="00871353">
            <w:pPr>
              <w:spacing w:after="0" w:line="252" w:lineRule="auto"/>
              <w:ind w:right="113"/>
              <w:jc w:val="right"/>
              <w:rPr>
                <w:rFonts w:cstheme="minorHAnsi"/>
                <w:color w:val="FF0000"/>
                <w:sz w:val="20"/>
                <w:szCs w:val="20"/>
              </w:rPr>
            </w:pPr>
            <w:r w:rsidRPr="004459F3">
              <w:rPr>
                <w:rFonts w:cstheme="minorHAnsi"/>
                <w:color w:val="FF0000"/>
                <w:sz w:val="20"/>
                <w:szCs w:val="20"/>
              </w:rPr>
              <w:t>40,52</w:t>
            </w:r>
          </w:p>
        </w:tc>
      </w:tr>
      <w:tr w:rsidR="004459F3" w:rsidRPr="00447172" w14:paraId="7D309DCE" w14:textId="77777777" w:rsidTr="004459F3">
        <w:trPr>
          <w:trHeight w:val="340"/>
        </w:trPr>
        <w:tc>
          <w:tcPr>
            <w:tcW w:w="3397" w:type="dxa"/>
            <w:gridSpan w:val="3"/>
            <w:tcBorders>
              <w:top w:val="single" w:sz="8" w:space="0" w:color="auto"/>
              <w:left w:val="single" w:sz="8" w:space="0" w:color="auto"/>
              <w:bottom w:val="single" w:sz="8" w:space="0" w:color="auto"/>
            </w:tcBorders>
            <w:shd w:val="clear" w:color="auto" w:fill="auto"/>
            <w:noWrap/>
            <w:vAlign w:val="center"/>
          </w:tcPr>
          <w:p w14:paraId="6601728D" w14:textId="6FD3A0F6" w:rsidR="00263065" w:rsidRPr="004459F3" w:rsidRDefault="00263065" w:rsidP="004459F3">
            <w:pPr>
              <w:spacing w:after="0" w:line="252" w:lineRule="auto"/>
              <w:ind w:right="57"/>
              <w:jc w:val="right"/>
              <w:rPr>
                <w:rFonts w:cstheme="minorHAnsi"/>
                <w:b/>
                <w:color w:val="000000"/>
                <w:sz w:val="20"/>
                <w:szCs w:val="20"/>
              </w:rPr>
            </w:pPr>
            <w:r w:rsidRPr="004459F3">
              <w:rPr>
                <w:rFonts w:cstheme="minorHAnsi"/>
                <w:b/>
                <w:color w:val="000000"/>
                <w:sz w:val="20"/>
                <w:szCs w:val="20"/>
              </w:rPr>
              <w:t>Celkem</w:t>
            </w:r>
          </w:p>
        </w:tc>
        <w:tc>
          <w:tcPr>
            <w:tcW w:w="1134" w:type="dxa"/>
            <w:tcBorders>
              <w:top w:val="single" w:sz="8" w:space="0" w:color="auto"/>
              <w:bottom w:val="single" w:sz="8" w:space="0" w:color="auto"/>
              <w:right w:val="single" w:sz="8" w:space="0" w:color="auto"/>
            </w:tcBorders>
            <w:shd w:val="clear" w:color="auto" w:fill="auto"/>
            <w:noWrap/>
            <w:vAlign w:val="center"/>
          </w:tcPr>
          <w:p w14:paraId="609486B4" w14:textId="77777777" w:rsidR="00263065" w:rsidRPr="004459F3" w:rsidRDefault="00263065" w:rsidP="00871353">
            <w:pPr>
              <w:spacing w:after="0" w:line="252" w:lineRule="auto"/>
              <w:ind w:right="113"/>
              <w:jc w:val="right"/>
              <w:rPr>
                <w:rFonts w:cstheme="minorHAnsi"/>
                <w:b/>
                <w:color w:val="000000"/>
                <w:sz w:val="20"/>
                <w:szCs w:val="20"/>
              </w:rPr>
            </w:pPr>
            <w:r w:rsidRPr="004459F3">
              <w:rPr>
                <w:rFonts w:cstheme="minorHAnsi"/>
                <w:b/>
                <w:color w:val="000000"/>
                <w:sz w:val="20"/>
                <w:szCs w:val="20"/>
              </w:rPr>
              <w:t>6 762</w:t>
            </w:r>
          </w:p>
        </w:tc>
        <w:tc>
          <w:tcPr>
            <w:tcW w:w="1134" w:type="dxa"/>
            <w:tcBorders>
              <w:top w:val="single" w:sz="8" w:space="0" w:color="auto"/>
              <w:left w:val="single" w:sz="8" w:space="0" w:color="auto"/>
              <w:bottom w:val="single" w:sz="8" w:space="0" w:color="auto"/>
            </w:tcBorders>
            <w:shd w:val="clear" w:color="auto" w:fill="auto"/>
            <w:vAlign w:val="center"/>
          </w:tcPr>
          <w:p w14:paraId="3D008E6B" w14:textId="77777777" w:rsidR="00263065" w:rsidRPr="004459F3" w:rsidRDefault="00263065" w:rsidP="00871353">
            <w:pPr>
              <w:spacing w:after="0" w:line="252" w:lineRule="auto"/>
              <w:ind w:right="113"/>
              <w:jc w:val="right"/>
              <w:rPr>
                <w:rFonts w:cstheme="minorHAnsi"/>
                <w:b/>
                <w:color w:val="00B050"/>
                <w:sz w:val="20"/>
                <w:szCs w:val="20"/>
              </w:rPr>
            </w:pPr>
            <w:r w:rsidRPr="004459F3">
              <w:rPr>
                <w:rFonts w:cstheme="minorHAnsi"/>
                <w:b/>
                <w:color w:val="00B050"/>
                <w:sz w:val="20"/>
                <w:szCs w:val="20"/>
              </w:rPr>
              <w:t>2 655</w:t>
            </w:r>
          </w:p>
        </w:tc>
        <w:tc>
          <w:tcPr>
            <w:tcW w:w="1134" w:type="dxa"/>
            <w:tcBorders>
              <w:top w:val="single" w:sz="8" w:space="0" w:color="auto"/>
              <w:bottom w:val="single" w:sz="8" w:space="0" w:color="auto"/>
              <w:right w:val="single" w:sz="8" w:space="0" w:color="auto"/>
            </w:tcBorders>
            <w:shd w:val="clear" w:color="auto" w:fill="auto"/>
            <w:vAlign w:val="center"/>
          </w:tcPr>
          <w:p w14:paraId="59646F58" w14:textId="77777777" w:rsidR="00263065" w:rsidRPr="004459F3" w:rsidRDefault="00263065" w:rsidP="00871353">
            <w:pPr>
              <w:spacing w:after="0" w:line="252" w:lineRule="auto"/>
              <w:ind w:right="113"/>
              <w:jc w:val="right"/>
              <w:rPr>
                <w:rFonts w:cstheme="minorHAnsi"/>
                <w:b/>
                <w:color w:val="00B050"/>
                <w:sz w:val="20"/>
                <w:szCs w:val="20"/>
              </w:rPr>
            </w:pPr>
            <w:r w:rsidRPr="004459F3">
              <w:rPr>
                <w:rFonts w:cstheme="minorHAnsi"/>
                <w:b/>
                <w:color w:val="00B050"/>
                <w:sz w:val="20"/>
                <w:szCs w:val="20"/>
              </w:rPr>
              <w:t>39,26</w:t>
            </w:r>
          </w:p>
        </w:tc>
        <w:tc>
          <w:tcPr>
            <w:tcW w:w="1134" w:type="dxa"/>
            <w:tcBorders>
              <w:top w:val="single" w:sz="8" w:space="0" w:color="auto"/>
              <w:left w:val="single" w:sz="8" w:space="0" w:color="auto"/>
              <w:bottom w:val="single" w:sz="8" w:space="0" w:color="auto"/>
            </w:tcBorders>
            <w:shd w:val="clear" w:color="auto" w:fill="auto"/>
            <w:vAlign w:val="center"/>
          </w:tcPr>
          <w:p w14:paraId="7D105FF4" w14:textId="77777777" w:rsidR="00263065" w:rsidRPr="004459F3" w:rsidRDefault="00263065" w:rsidP="00871353">
            <w:pPr>
              <w:spacing w:after="0" w:line="252" w:lineRule="auto"/>
              <w:ind w:right="113"/>
              <w:jc w:val="right"/>
              <w:rPr>
                <w:rFonts w:cstheme="minorHAnsi"/>
                <w:b/>
                <w:color w:val="FF0000"/>
                <w:sz w:val="20"/>
                <w:szCs w:val="20"/>
              </w:rPr>
            </w:pPr>
            <w:r w:rsidRPr="004459F3">
              <w:rPr>
                <w:rFonts w:cstheme="minorHAnsi"/>
                <w:b/>
                <w:color w:val="FF0000"/>
                <w:sz w:val="20"/>
                <w:szCs w:val="20"/>
              </w:rPr>
              <w:t>4 107</w:t>
            </w:r>
          </w:p>
        </w:tc>
        <w:tc>
          <w:tcPr>
            <w:tcW w:w="1125" w:type="dxa"/>
            <w:tcBorders>
              <w:top w:val="single" w:sz="8" w:space="0" w:color="auto"/>
              <w:bottom w:val="single" w:sz="8" w:space="0" w:color="auto"/>
              <w:right w:val="single" w:sz="8" w:space="0" w:color="auto"/>
            </w:tcBorders>
            <w:shd w:val="clear" w:color="auto" w:fill="auto"/>
            <w:vAlign w:val="center"/>
          </w:tcPr>
          <w:p w14:paraId="783DFD70" w14:textId="77777777" w:rsidR="00263065" w:rsidRPr="004459F3" w:rsidRDefault="00263065" w:rsidP="00871353">
            <w:pPr>
              <w:spacing w:after="0" w:line="252" w:lineRule="auto"/>
              <w:ind w:right="113"/>
              <w:jc w:val="right"/>
              <w:rPr>
                <w:rFonts w:cstheme="minorHAnsi"/>
                <w:b/>
                <w:color w:val="FF0000"/>
                <w:sz w:val="20"/>
                <w:szCs w:val="20"/>
              </w:rPr>
            </w:pPr>
            <w:r w:rsidRPr="004459F3">
              <w:rPr>
                <w:rFonts w:cstheme="minorHAnsi"/>
                <w:b/>
                <w:color w:val="FF0000"/>
                <w:sz w:val="20"/>
                <w:szCs w:val="20"/>
              </w:rPr>
              <w:t>60,74</w:t>
            </w:r>
          </w:p>
        </w:tc>
      </w:tr>
    </w:tbl>
    <w:p w14:paraId="4D22EC3C" w14:textId="4D0EBA4C" w:rsidR="00052107" w:rsidRDefault="00052107" w:rsidP="004459F3">
      <w:pPr>
        <w:spacing w:after="0" w:line="252" w:lineRule="auto"/>
        <w:contextualSpacing/>
        <w:rPr>
          <w:rFonts w:ascii="Calibri" w:eastAsia="Aptos" w:hAnsi="Calibri" w:cs="Calibri"/>
          <w:sz w:val="20"/>
          <w:szCs w:val="20"/>
        </w:rPr>
      </w:pPr>
      <w:r w:rsidRPr="004459F3">
        <w:rPr>
          <w:rFonts w:cstheme="minorHAnsi"/>
          <w:b/>
          <w:bCs/>
          <w:sz w:val="20"/>
          <w:szCs w:val="20"/>
        </w:rPr>
        <w:t>Zdroj:</w:t>
      </w:r>
      <w:r>
        <w:rPr>
          <w:rFonts w:cstheme="minorHAnsi"/>
          <w:sz w:val="20"/>
          <w:szCs w:val="20"/>
        </w:rPr>
        <w:t xml:space="preserve"> ŘSD</w:t>
      </w:r>
      <w:r w:rsidR="00F12B7E">
        <w:rPr>
          <w:rFonts w:cstheme="minorHAnsi"/>
          <w:sz w:val="20"/>
          <w:szCs w:val="20"/>
        </w:rPr>
        <w:t>.</w:t>
      </w:r>
    </w:p>
    <w:p w14:paraId="4FCD9223" w14:textId="4B00B6AF" w:rsidR="004A60EB" w:rsidRDefault="00A10CD6" w:rsidP="00A10CD6">
      <w:pPr>
        <w:spacing w:after="0" w:line="252" w:lineRule="auto"/>
        <w:contextualSpacing/>
        <w:jc w:val="both"/>
        <w:rPr>
          <w:rFonts w:cstheme="minorHAnsi"/>
          <w:sz w:val="20"/>
          <w:szCs w:val="20"/>
        </w:rPr>
      </w:pPr>
      <w:r w:rsidRPr="004C6F4D">
        <w:rPr>
          <w:rFonts w:ascii="Calibri" w:eastAsia="Aptos" w:hAnsi="Calibri" w:cs="Calibri"/>
          <w:sz w:val="20"/>
          <w:szCs w:val="20"/>
        </w:rPr>
        <w:t>* Stav k </w:t>
      </w:r>
      <w:r w:rsidR="00B86AA8">
        <w:rPr>
          <w:rFonts w:ascii="Calibri" w:eastAsia="Aptos" w:hAnsi="Calibri" w:cs="Calibri"/>
          <w:sz w:val="20"/>
          <w:szCs w:val="20"/>
        </w:rPr>
        <w:t>3</w:t>
      </w:r>
      <w:r w:rsidRPr="004C6F4D">
        <w:rPr>
          <w:rFonts w:ascii="Calibri" w:eastAsia="Aptos" w:hAnsi="Calibri" w:cs="Calibri"/>
          <w:sz w:val="20"/>
          <w:szCs w:val="20"/>
        </w:rPr>
        <w:t xml:space="preserve">1. </w:t>
      </w:r>
      <w:r w:rsidR="00B86AA8">
        <w:rPr>
          <w:rFonts w:ascii="Calibri" w:eastAsia="Aptos" w:hAnsi="Calibri" w:cs="Calibri"/>
          <w:sz w:val="20"/>
          <w:szCs w:val="20"/>
        </w:rPr>
        <w:t>8</w:t>
      </w:r>
      <w:r w:rsidRPr="004C6F4D">
        <w:rPr>
          <w:rFonts w:ascii="Calibri" w:eastAsia="Aptos" w:hAnsi="Calibri" w:cs="Calibri"/>
          <w:sz w:val="20"/>
          <w:szCs w:val="20"/>
        </w:rPr>
        <w:t>. 2024.</w:t>
      </w:r>
    </w:p>
    <w:p w14:paraId="1C6C287A" w14:textId="77777777" w:rsidR="00052107" w:rsidRDefault="00052107" w:rsidP="00052107">
      <w:pPr>
        <w:pStyle w:val="Odstavecseseznamem"/>
        <w:spacing w:after="0" w:line="252" w:lineRule="auto"/>
        <w:ind w:left="360"/>
        <w:jc w:val="both"/>
        <w:rPr>
          <w:rFonts w:eastAsia="Calibri" w:cstheme="minorHAnsi"/>
          <w:b/>
          <w:i/>
          <w:color w:val="4472C4" w:themeColor="accent5"/>
          <w:sz w:val="24"/>
          <w:szCs w:val="24"/>
        </w:rPr>
      </w:pPr>
    </w:p>
    <w:p w14:paraId="7C59890A" w14:textId="77777777" w:rsidR="002F35D4" w:rsidRPr="00951F0E" w:rsidRDefault="00FB3840" w:rsidP="002F35D4">
      <w:pPr>
        <w:pStyle w:val="Odstavecseseznamem"/>
        <w:numPr>
          <w:ilvl w:val="0"/>
          <w:numId w:val="37"/>
        </w:numPr>
        <w:spacing w:after="0" w:line="252" w:lineRule="auto"/>
        <w:jc w:val="both"/>
        <w:rPr>
          <w:rFonts w:eastAsia="Calibri" w:cstheme="minorHAnsi"/>
          <w:b/>
          <w:i/>
          <w:color w:val="4472C4" w:themeColor="accent5"/>
          <w:sz w:val="24"/>
          <w:szCs w:val="24"/>
        </w:rPr>
      </w:pPr>
      <w:r>
        <w:rPr>
          <w:rFonts w:eastAsia="Calibri" w:cstheme="minorHAnsi"/>
          <w:b/>
          <w:i/>
          <w:color w:val="4472C4" w:themeColor="accent5"/>
          <w:sz w:val="24"/>
          <w:szCs w:val="24"/>
        </w:rPr>
        <w:t xml:space="preserve">... </w:t>
      </w:r>
      <w:r w:rsidR="002F35D4">
        <w:rPr>
          <w:rFonts w:eastAsia="Calibri" w:cstheme="minorHAnsi"/>
          <w:b/>
          <w:i/>
          <w:color w:val="4472C4" w:themeColor="accent5"/>
          <w:sz w:val="24"/>
          <w:szCs w:val="24"/>
        </w:rPr>
        <w:t xml:space="preserve">a ŘSD navíc </w:t>
      </w:r>
      <w:r w:rsidR="002F35D4" w:rsidRPr="00951F0E">
        <w:rPr>
          <w:rFonts w:eastAsia="Calibri" w:cstheme="minorHAnsi"/>
          <w:b/>
          <w:i/>
          <w:color w:val="4472C4" w:themeColor="accent5"/>
          <w:sz w:val="24"/>
          <w:szCs w:val="24"/>
        </w:rPr>
        <w:t>předáv</w:t>
      </w:r>
      <w:r w:rsidR="002F35D4">
        <w:rPr>
          <w:rFonts w:eastAsia="Calibri" w:cstheme="minorHAnsi"/>
          <w:b/>
          <w:i/>
          <w:color w:val="4472C4" w:themeColor="accent5"/>
          <w:sz w:val="24"/>
          <w:szCs w:val="24"/>
        </w:rPr>
        <w:t xml:space="preserve">alo </w:t>
      </w:r>
      <w:r w:rsidR="002F35D4" w:rsidRPr="00951F0E">
        <w:rPr>
          <w:rFonts w:eastAsia="Calibri" w:cstheme="minorHAnsi"/>
          <w:b/>
          <w:i/>
          <w:color w:val="4472C4" w:themeColor="accent5"/>
          <w:sz w:val="24"/>
          <w:szCs w:val="24"/>
        </w:rPr>
        <w:t>k řešení ORP</w:t>
      </w:r>
      <w:r w:rsidR="002F35D4" w:rsidRPr="002F35D4">
        <w:rPr>
          <w:rFonts w:eastAsia="Calibri" w:cstheme="minorHAnsi"/>
          <w:b/>
          <w:i/>
          <w:color w:val="4472C4" w:themeColor="accent5"/>
          <w:sz w:val="24"/>
          <w:szCs w:val="24"/>
        </w:rPr>
        <w:t xml:space="preserve"> </w:t>
      </w:r>
      <w:r w:rsidR="002F35D4">
        <w:rPr>
          <w:rFonts w:eastAsia="Calibri" w:cstheme="minorHAnsi"/>
          <w:b/>
          <w:i/>
          <w:color w:val="4472C4" w:themeColor="accent5"/>
          <w:sz w:val="24"/>
          <w:szCs w:val="24"/>
        </w:rPr>
        <w:t xml:space="preserve">jen část zjištěných </w:t>
      </w:r>
      <w:r w:rsidR="002F35D4" w:rsidRPr="00951F0E">
        <w:rPr>
          <w:rFonts w:eastAsia="Calibri" w:cstheme="minorHAnsi"/>
          <w:b/>
          <w:i/>
          <w:color w:val="4472C4" w:themeColor="accent5"/>
          <w:sz w:val="24"/>
          <w:szCs w:val="24"/>
        </w:rPr>
        <w:t>vážní</w:t>
      </w:r>
      <w:r w:rsidR="002F35D4">
        <w:rPr>
          <w:rFonts w:eastAsia="Calibri" w:cstheme="minorHAnsi"/>
          <w:b/>
          <w:i/>
          <w:color w:val="4472C4" w:themeColor="accent5"/>
          <w:sz w:val="24"/>
          <w:szCs w:val="24"/>
        </w:rPr>
        <w:t xml:space="preserve">ch </w:t>
      </w:r>
      <w:r w:rsidR="002F35D4" w:rsidRPr="00951F0E">
        <w:rPr>
          <w:rFonts w:eastAsia="Calibri" w:cstheme="minorHAnsi"/>
          <w:b/>
          <w:i/>
          <w:color w:val="4472C4" w:themeColor="accent5"/>
          <w:sz w:val="24"/>
          <w:szCs w:val="24"/>
        </w:rPr>
        <w:t>delikt</w:t>
      </w:r>
      <w:r w:rsidR="002F35D4">
        <w:rPr>
          <w:rFonts w:eastAsia="Calibri" w:cstheme="minorHAnsi"/>
          <w:b/>
          <w:i/>
          <w:color w:val="4472C4" w:themeColor="accent5"/>
          <w:sz w:val="24"/>
          <w:szCs w:val="24"/>
        </w:rPr>
        <w:t>ů.</w:t>
      </w:r>
    </w:p>
    <w:p w14:paraId="11EB31BB" w14:textId="77777777" w:rsidR="00CD156A" w:rsidRDefault="00CD156A" w:rsidP="009B30C2">
      <w:pPr>
        <w:spacing w:after="0" w:line="252" w:lineRule="auto"/>
        <w:contextualSpacing/>
        <w:jc w:val="both"/>
        <w:rPr>
          <w:rFonts w:ascii="Calibri" w:eastAsia="Aptos" w:hAnsi="Calibri" w:cs="Calibri"/>
          <w:sz w:val="24"/>
          <w:szCs w:val="24"/>
        </w:rPr>
      </w:pPr>
    </w:p>
    <w:p w14:paraId="06DF9865" w14:textId="460F47F4" w:rsidR="00EA18E7" w:rsidRPr="00052107" w:rsidRDefault="00825453" w:rsidP="00D95B87">
      <w:pPr>
        <w:spacing w:after="0" w:line="252" w:lineRule="auto"/>
        <w:contextualSpacing/>
        <w:jc w:val="both"/>
        <w:rPr>
          <w:rFonts w:cstheme="minorHAnsi"/>
          <w:sz w:val="24"/>
          <w:szCs w:val="24"/>
        </w:rPr>
      </w:pPr>
      <w:r w:rsidRPr="00052107">
        <w:rPr>
          <w:rFonts w:cstheme="minorHAnsi"/>
          <w:sz w:val="24"/>
          <w:szCs w:val="24"/>
        </w:rPr>
        <w:t>4.2</w:t>
      </w:r>
      <w:r w:rsidR="00216774" w:rsidRPr="00052107">
        <w:rPr>
          <w:rFonts w:cstheme="minorHAnsi"/>
          <w:sz w:val="24"/>
          <w:szCs w:val="24"/>
        </w:rPr>
        <w:t>4</w:t>
      </w:r>
      <w:r w:rsidRPr="00052107">
        <w:rPr>
          <w:rFonts w:cstheme="minorHAnsi"/>
          <w:sz w:val="24"/>
          <w:szCs w:val="24"/>
        </w:rPr>
        <w:t xml:space="preserve"> </w:t>
      </w:r>
      <w:r w:rsidR="002F35D4" w:rsidRPr="00052107">
        <w:rPr>
          <w:rFonts w:cstheme="minorHAnsi"/>
          <w:sz w:val="24"/>
          <w:szCs w:val="24"/>
        </w:rPr>
        <w:t xml:space="preserve">Váhy pro VKV </w:t>
      </w:r>
      <w:r w:rsidR="00FA36EA" w:rsidRPr="00052107">
        <w:rPr>
          <w:rFonts w:cstheme="minorHAnsi"/>
          <w:sz w:val="24"/>
          <w:szCs w:val="24"/>
        </w:rPr>
        <w:t>v</w:t>
      </w:r>
      <w:r w:rsidR="004C6F4D" w:rsidRPr="00052107">
        <w:rPr>
          <w:rFonts w:cstheme="minorHAnsi"/>
          <w:sz w:val="24"/>
          <w:szCs w:val="24"/>
        </w:rPr>
        <w:t xml:space="preserve"> období </w:t>
      </w:r>
      <w:r w:rsidR="00FA36EA" w:rsidRPr="00052107">
        <w:rPr>
          <w:rFonts w:cstheme="minorHAnsi"/>
          <w:sz w:val="24"/>
          <w:szCs w:val="24"/>
        </w:rPr>
        <w:t>od ledna 2020 do října 2024</w:t>
      </w:r>
      <w:r w:rsidR="00192EF8" w:rsidRPr="00052107">
        <w:rPr>
          <w:rFonts w:cstheme="minorHAnsi"/>
          <w:sz w:val="24"/>
          <w:szCs w:val="24"/>
        </w:rPr>
        <w:t> </w:t>
      </w:r>
      <w:r w:rsidR="002F35D4" w:rsidRPr="00052107">
        <w:rPr>
          <w:rFonts w:cstheme="minorHAnsi"/>
          <w:sz w:val="24"/>
          <w:szCs w:val="24"/>
        </w:rPr>
        <w:t xml:space="preserve">zachytily celkem 495 707 </w:t>
      </w:r>
      <w:r w:rsidR="009E11EA" w:rsidRPr="00052107">
        <w:rPr>
          <w:rFonts w:cstheme="minorHAnsi"/>
          <w:sz w:val="24"/>
          <w:szCs w:val="24"/>
        </w:rPr>
        <w:t xml:space="preserve">vážních deliktů. </w:t>
      </w:r>
      <w:r w:rsidR="005D7B45" w:rsidRPr="00052107">
        <w:rPr>
          <w:rFonts w:cstheme="minorHAnsi"/>
          <w:sz w:val="24"/>
          <w:szCs w:val="24"/>
        </w:rPr>
        <w:t>Jenom 289 311 (tj. 58,36 %) z</w:t>
      </w:r>
      <w:r w:rsidR="009E11EA" w:rsidRPr="00052107">
        <w:rPr>
          <w:rFonts w:cstheme="minorHAnsi"/>
          <w:sz w:val="24"/>
          <w:szCs w:val="24"/>
        </w:rPr>
        <w:t xml:space="preserve"> nich ale ŘSD </w:t>
      </w:r>
      <w:r w:rsidR="00FA36EA" w:rsidRPr="00052107">
        <w:rPr>
          <w:rFonts w:cstheme="minorHAnsi"/>
          <w:sz w:val="24"/>
          <w:szCs w:val="24"/>
        </w:rPr>
        <w:t>předalo příslušným ORP</w:t>
      </w:r>
      <w:r w:rsidR="00D95B87" w:rsidRPr="00052107">
        <w:rPr>
          <w:rFonts w:cstheme="minorHAnsi"/>
          <w:sz w:val="24"/>
          <w:szCs w:val="24"/>
        </w:rPr>
        <w:t>.</w:t>
      </w:r>
      <w:r w:rsidR="00AD2F64" w:rsidRPr="00052107">
        <w:rPr>
          <w:rFonts w:cstheme="minorHAnsi"/>
          <w:sz w:val="24"/>
          <w:szCs w:val="24"/>
        </w:rPr>
        <w:t xml:space="preserve"> </w:t>
      </w:r>
      <w:r w:rsidR="00192EF8" w:rsidRPr="00052107">
        <w:rPr>
          <w:rFonts w:cstheme="minorHAnsi"/>
          <w:sz w:val="24"/>
          <w:szCs w:val="24"/>
        </w:rPr>
        <w:t xml:space="preserve">Zbylých </w:t>
      </w:r>
      <w:r w:rsidR="00C73FE9" w:rsidRPr="00052107">
        <w:rPr>
          <w:rFonts w:cstheme="minorHAnsi"/>
          <w:sz w:val="24"/>
          <w:szCs w:val="24"/>
        </w:rPr>
        <w:t>206</w:t>
      </w:r>
      <w:r w:rsidR="009E11EA" w:rsidRPr="00052107">
        <w:rPr>
          <w:rFonts w:cstheme="minorHAnsi"/>
          <w:sz w:val="24"/>
          <w:szCs w:val="24"/>
        </w:rPr>
        <w:t> </w:t>
      </w:r>
      <w:r w:rsidR="00C73FE9" w:rsidRPr="00052107">
        <w:rPr>
          <w:rFonts w:cstheme="minorHAnsi"/>
          <w:sz w:val="24"/>
          <w:szCs w:val="24"/>
        </w:rPr>
        <w:t>396</w:t>
      </w:r>
      <w:r w:rsidR="009E11EA" w:rsidRPr="00052107">
        <w:rPr>
          <w:rFonts w:cstheme="minorHAnsi"/>
          <w:sz w:val="24"/>
          <w:szCs w:val="24"/>
        </w:rPr>
        <w:t xml:space="preserve"> (</w:t>
      </w:r>
      <w:r w:rsidR="00C73FE9" w:rsidRPr="00052107">
        <w:rPr>
          <w:rFonts w:cstheme="minorHAnsi"/>
          <w:sz w:val="24"/>
          <w:szCs w:val="24"/>
        </w:rPr>
        <w:t xml:space="preserve">tj. </w:t>
      </w:r>
      <w:r w:rsidR="00192EF8" w:rsidRPr="00052107">
        <w:rPr>
          <w:rFonts w:cstheme="minorHAnsi"/>
          <w:sz w:val="24"/>
          <w:szCs w:val="24"/>
        </w:rPr>
        <w:t>41,64 %</w:t>
      </w:r>
      <w:r w:rsidR="009E11EA" w:rsidRPr="00052107">
        <w:rPr>
          <w:rFonts w:cstheme="minorHAnsi"/>
          <w:sz w:val="24"/>
          <w:szCs w:val="24"/>
        </w:rPr>
        <w:t>)</w:t>
      </w:r>
      <w:r w:rsidR="00192EF8" w:rsidRPr="00052107">
        <w:rPr>
          <w:rFonts w:cstheme="minorHAnsi"/>
          <w:sz w:val="24"/>
          <w:szCs w:val="24"/>
        </w:rPr>
        <w:t xml:space="preserve"> vážních deliktů bylo </w:t>
      </w:r>
      <w:r w:rsidR="00FA36EA" w:rsidRPr="00052107">
        <w:rPr>
          <w:rFonts w:cstheme="minorHAnsi"/>
          <w:sz w:val="24"/>
          <w:szCs w:val="24"/>
        </w:rPr>
        <w:t xml:space="preserve">sice </w:t>
      </w:r>
      <w:r w:rsidR="00192EF8" w:rsidRPr="00052107">
        <w:rPr>
          <w:rFonts w:cstheme="minorHAnsi"/>
          <w:sz w:val="24"/>
          <w:szCs w:val="24"/>
        </w:rPr>
        <w:t xml:space="preserve">zjištěno a </w:t>
      </w:r>
      <w:r w:rsidR="00F12B7E">
        <w:rPr>
          <w:rFonts w:cstheme="minorHAnsi"/>
          <w:sz w:val="24"/>
          <w:szCs w:val="24"/>
        </w:rPr>
        <w:t>z</w:t>
      </w:r>
      <w:r w:rsidR="00192EF8" w:rsidRPr="00052107">
        <w:rPr>
          <w:rFonts w:cstheme="minorHAnsi"/>
          <w:sz w:val="24"/>
          <w:szCs w:val="24"/>
        </w:rPr>
        <w:t>dokumentováno, ale ne</w:t>
      </w:r>
      <w:r w:rsidR="009E11EA" w:rsidRPr="00052107">
        <w:rPr>
          <w:rFonts w:cstheme="minorHAnsi"/>
          <w:sz w:val="24"/>
          <w:szCs w:val="24"/>
        </w:rPr>
        <w:t>moh</w:t>
      </w:r>
      <w:r w:rsidR="00192EF8" w:rsidRPr="00052107">
        <w:rPr>
          <w:rFonts w:cstheme="minorHAnsi"/>
          <w:sz w:val="24"/>
          <w:szCs w:val="24"/>
        </w:rPr>
        <w:t xml:space="preserve">lo </w:t>
      </w:r>
      <w:r w:rsidR="009E11EA" w:rsidRPr="00052107">
        <w:rPr>
          <w:rFonts w:cstheme="minorHAnsi"/>
          <w:sz w:val="24"/>
          <w:szCs w:val="24"/>
        </w:rPr>
        <w:t xml:space="preserve">být </w:t>
      </w:r>
      <w:r w:rsidR="00192EF8" w:rsidRPr="00052107">
        <w:rPr>
          <w:rFonts w:cstheme="minorHAnsi"/>
          <w:sz w:val="24"/>
          <w:szCs w:val="24"/>
        </w:rPr>
        <w:t>dále řešeno</w:t>
      </w:r>
      <w:r w:rsidR="009E11EA" w:rsidRPr="00052107">
        <w:rPr>
          <w:rFonts w:cstheme="minorHAnsi"/>
          <w:sz w:val="24"/>
          <w:szCs w:val="24"/>
        </w:rPr>
        <w:t xml:space="preserve"> v přestupkovém řízení</w:t>
      </w:r>
      <w:r w:rsidR="00613541">
        <w:rPr>
          <w:rFonts w:cstheme="minorHAnsi"/>
          <w:sz w:val="24"/>
          <w:szCs w:val="24"/>
        </w:rPr>
        <w:t>, neboť ŘSD nedoručilo příslušným ORP vážní lístky</w:t>
      </w:r>
      <w:r w:rsidR="00192EF8" w:rsidRPr="00052107">
        <w:rPr>
          <w:rFonts w:cstheme="minorHAnsi"/>
          <w:sz w:val="24"/>
          <w:szCs w:val="24"/>
        </w:rPr>
        <w:t xml:space="preserve">. </w:t>
      </w:r>
      <w:r w:rsidR="00FA36EA" w:rsidRPr="00052107">
        <w:rPr>
          <w:rFonts w:cstheme="minorHAnsi"/>
          <w:sz w:val="24"/>
          <w:szCs w:val="24"/>
        </w:rPr>
        <w:t xml:space="preserve">Tyto vážní delikty tedy </w:t>
      </w:r>
      <w:r w:rsidR="009E11EA" w:rsidRPr="00052107">
        <w:rPr>
          <w:rFonts w:cstheme="minorHAnsi"/>
          <w:sz w:val="24"/>
          <w:szCs w:val="24"/>
        </w:rPr>
        <w:t xml:space="preserve">byly zachyceny, ale </w:t>
      </w:r>
      <w:r w:rsidR="00FA36EA" w:rsidRPr="00052107">
        <w:rPr>
          <w:rFonts w:cstheme="minorHAnsi"/>
          <w:sz w:val="24"/>
          <w:szCs w:val="24"/>
        </w:rPr>
        <w:t xml:space="preserve">nebyly postiženy </w:t>
      </w:r>
      <w:r w:rsidR="00193E26">
        <w:rPr>
          <w:rFonts w:cstheme="minorHAnsi"/>
          <w:sz w:val="24"/>
          <w:szCs w:val="24"/>
        </w:rPr>
        <w:t xml:space="preserve">případnou </w:t>
      </w:r>
      <w:r w:rsidR="00FA36EA" w:rsidRPr="00052107">
        <w:rPr>
          <w:rFonts w:cstheme="minorHAnsi"/>
          <w:sz w:val="24"/>
          <w:szCs w:val="24"/>
        </w:rPr>
        <w:t>sankcí</w:t>
      </w:r>
      <w:r w:rsidR="009E11EA" w:rsidRPr="00052107">
        <w:rPr>
          <w:rFonts w:cstheme="minorHAnsi"/>
          <w:sz w:val="24"/>
          <w:szCs w:val="24"/>
        </w:rPr>
        <w:t>, což významně snižuje účelnost systému VKV</w:t>
      </w:r>
      <w:r w:rsidR="00FA36EA" w:rsidRPr="00052107">
        <w:rPr>
          <w:rFonts w:cstheme="minorHAnsi"/>
          <w:sz w:val="24"/>
          <w:szCs w:val="24"/>
        </w:rPr>
        <w:t>.</w:t>
      </w:r>
    </w:p>
    <w:p w14:paraId="7C4EBB53" w14:textId="77777777" w:rsidR="002A13F1" w:rsidRPr="00052107" w:rsidRDefault="002A13F1" w:rsidP="00D95B87">
      <w:pPr>
        <w:spacing w:after="0" w:line="252" w:lineRule="auto"/>
        <w:contextualSpacing/>
        <w:jc w:val="both"/>
        <w:rPr>
          <w:rFonts w:ascii="Calibri" w:eastAsia="Aptos" w:hAnsi="Calibri" w:cs="Calibri"/>
          <w:sz w:val="24"/>
          <w:szCs w:val="24"/>
        </w:rPr>
      </w:pPr>
    </w:p>
    <w:p w14:paraId="0CF6CC7E" w14:textId="77777777" w:rsidR="00F12B7E" w:rsidRDefault="00F12B7E">
      <w:pPr>
        <w:rPr>
          <w:rFonts w:cstheme="minorHAnsi"/>
          <w:b/>
          <w:sz w:val="24"/>
          <w:szCs w:val="24"/>
        </w:rPr>
      </w:pPr>
      <w:r>
        <w:rPr>
          <w:rFonts w:cstheme="minorHAnsi"/>
          <w:b/>
          <w:sz w:val="24"/>
          <w:szCs w:val="24"/>
        </w:rPr>
        <w:br w:type="page"/>
      </w:r>
    </w:p>
    <w:p w14:paraId="78EAE012" w14:textId="7D21D80A" w:rsidR="00EA18E7" w:rsidRDefault="00EA18E7" w:rsidP="004459F3">
      <w:pPr>
        <w:keepNext/>
        <w:spacing w:after="0" w:line="252" w:lineRule="auto"/>
        <w:ind w:left="1418" w:hanging="1418"/>
        <w:contextualSpacing/>
        <w:jc w:val="both"/>
        <w:rPr>
          <w:rFonts w:ascii="Calibri" w:eastAsia="Calibri" w:hAnsi="Calibri" w:cs="Calibri"/>
          <w:b/>
          <w:sz w:val="24"/>
          <w:szCs w:val="24"/>
        </w:rPr>
      </w:pPr>
      <w:r w:rsidRPr="00052107">
        <w:rPr>
          <w:rFonts w:cstheme="minorHAnsi"/>
          <w:b/>
          <w:sz w:val="24"/>
          <w:szCs w:val="24"/>
        </w:rPr>
        <w:lastRenderedPageBreak/>
        <w:t xml:space="preserve">Tabulka č. </w:t>
      </w:r>
      <w:r w:rsidR="00AD2F64" w:rsidRPr="00052107">
        <w:rPr>
          <w:rFonts w:cstheme="minorHAnsi"/>
          <w:b/>
          <w:sz w:val="24"/>
          <w:szCs w:val="24"/>
        </w:rPr>
        <w:t>3</w:t>
      </w:r>
      <w:r w:rsidRPr="00052107">
        <w:rPr>
          <w:rFonts w:cstheme="minorHAnsi"/>
          <w:b/>
          <w:sz w:val="24"/>
          <w:szCs w:val="24"/>
        </w:rPr>
        <w:t>:</w:t>
      </w:r>
      <w:r w:rsidR="004C6F4D" w:rsidRPr="00052107">
        <w:rPr>
          <w:rFonts w:cstheme="minorHAnsi"/>
          <w:b/>
          <w:sz w:val="24"/>
          <w:szCs w:val="24"/>
        </w:rPr>
        <w:t xml:space="preserve"> </w:t>
      </w:r>
      <w:r w:rsidR="00F12B7E">
        <w:rPr>
          <w:rFonts w:cstheme="minorHAnsi"/>
          <w:b/>
          <w:sz w:val="24"/>
          <w:szCs w:val="24"/>
        </w:rPr>
        <w:tab/>
      </w:r>
      <w:r w:rsidR="00C73FE9" w:rsidRPr="00052107">
        <w:rPr>
          <w:rFonts w:ascii="Calibri" w:eastAsia="Calibri" w:hAnsi="Calibri" w:cs="Calibri"/>
          <w:b/>
          <w:sz w:val="24"/>
          <w:szCs w:val="24"/>
        </w:rPr>
        <w:t xml:space="preserve">Počet vážních deliktů </w:t>
      </w:r>
      <w:r w:rsidR="00F12B7E" w:rsidRPr="00052107">
        <w:rPr>
          <w:rFonts w:ascii="Calibri" w:eastAsia="Calibri" w:hAnsi="Calibri" w:cs="Calibri"/>
          <w:b/>
          <w:sz w:val="24"/>
          <w:szCs w:val="24"/>
        </w:rPr>
        <w:t xml:space="preserve">zjištěných </w:t>
      </w:r>
      <w:r w:rsidR="00C73FE9" w:rsidRPr="00052107">
        <w:rPr>
          <w:rFonts w:ascii="Calibri" w:eastAsia="Calibri" w:hAnsi="Calibri" w:cs="Calibri"/>
          <w:b/>
          <w:sz w:val="24"/>
          <w:szCs w:val="24"/>
        </w:rPr>
        <w:t>VKV</w:t>
      </w:r>
      <w:r w:rsidR="002F35D4" w:rsidRPr="00052107">
        <w:rPr>
          <w:rFonts w:ascii="Calibri" w:eastAsia="Calibri" w:hAnsi="Calibri" w:cs="Calibri"/>
          <w:b/>
          <w:sz w:val="24"/>
          <w:szCs w:val="24"/>
        </w:rPr>
        <w:t xml:space="preserve"> a </w:t>
      </w:r>
      <w:proofErr w:type="gramStart"/>
      <w:r w:rsidR="002F35D4" w:rsidRPr="00052107">
        <w:rPr>
          <w:rFonts w:ascii="Calibri" w:eastAsia="Calibri" w:hAnsi="Calibri" w:cs="Calibri"/>
          <w:b/>
          <w:sz w:val="24"/>
          <w:szCs w:val="24"/>
        </w:rPr>
        <w:t xml:space="preserve">předaných </w:t>
      </w:r>
      <w:r w:rsidR="00F12B7E">
        <w:rPr>
          <w:rFonts w:ascii="Calibri" w:eastAsia="Calibri" w:hAnsi="Calibri" w:cs="Calibri"/>
          <w:b/>
          <w:sz w:val="24"/>
          <w:szCs w:val="24"/>
        </w:rPr>
        <w:t>obcím</w:t>
      </w:r>
      <w:proofErr w:type="gramEnd"/>
      <w:r w:rsidR="00F12B7E">
        <w:rPr>
          <w:rFonts w:ascii="Calibri" w:eastAsia="Calibri" w:hAnsi="Calibri" w:cs="Calibri"/>
          <w:b/>
          <w:sz w:val="24"/>
          <w:szCs w:val="24"/>
        </w:rPr>
        <w:t xml:space="preserve"> s</w:t>
      </w:r>
      <w:r w:rsidR="003F1DE9">
        <w:rPr>
          <w:rFonts w:ascii="Calibri" w:eastAsia="Calibri" w:hAnsi="Calibri" w:cs="Calibri"/>
          <w:b/>
          <w:sz w:val="24"/>
          <w:szCs w:val="24"/>
        </w:rPr>
        <w:t xml:space="preserve"> </w:t>
      </w:r>
      <w:r w:rsidR="00F12B7E">
        <w:rPr>
          <w:rFonts w:ascii="Calibri" w:eastAsia="Calibri" w:hAnsi="Calibri" w:cs="Calibri"/>
          <w:b/>
          <w:sz w:val="24"/>
          <w:szCs w:val="24"/>
        </w:rPr>
        <w:t>rozšířenou působností</w:t>
      </w:r>
      <w:r w:rsidR="002F35D4" w:rsidRPr="00052107">
        <w:rPr>
          <w:rFonts w:ascii="Calibri" w:eastAsia="Calibri" w:hAnsi="Calibri" w:cs="Calibri"/>
          <w:b/>
          <w:sz w:val="24"/>
          <w:szCs w:val="24"/>
        </w:rPr>
        <w:t xml:space="preserve"> </w:t>
      </w:r>
      <w:r w:rsidR="001737B2">
        <w:rPr>
          <w:rFonts w:ascii="Calibri" w:eastAsia="Calibri" w:hAnsi="Calibri" w:cs="Calibri"/>
          <w:b/>
          <w:sz w:val="24"/>
          <w:szCs w:val="24"/>
        </w:rPr>
        <w:t xml:space="preserve">(za </w:t>
      </w:r>
      <w:r w:rsidR="002F35D4" w:rsidRPr="00052107">
        <w:rPr>
          <w:rFonts w:ascii="Calibri" w:eastAsia="Calibri" w:hAnsi="Calibri" w:cs="Calibri"/>
          <w:b/>
          <w:sz w:val="24"/>
          <w:szCs w:val="24"/>
        </w:rPr>
        <w:t>období o</w:t>
      </w:r>
      <w:r w:rsidR="002F35D4" w:rsidRPr="00CD156A">
        <w:rPr>
          <w:rFonts w:ascii="Calibri" w:eastAsia="Calibri" w:hAnsi="Calibri" w:cs="Calibri"/>
          <w:b/>
          <w:sz w:val="24"/>
          <w:szCs w:val="24"/>
        </w:rPr>
        <w:t>d ledna 2020 do října 2024</w:t>
      </w:r>
      <w:r w:rsidR="00E23B9A">
        <w:rPr>
          <w:rFonts w:ascii="Calibri" w:eastAsia="Calibri" w:hAnsi="Calibri" w:cs="Calibri"/>
          <w:b/>
          <w:sz w:val="24"/>
          <w:szCs w:val="24"/>
        </w:rPr>
        <w:t>*)</w:t>
      </w:r>
    </w:p>
    <w:p w14:paraId="65A31450" w14:textId="77777777" w:rsidR="005F2CC7" w:rsidRPr="005F2CC7" w:rsidRDefault="005F2CC7" w:rsidP="00EA18E7">
      <w:pPr>
        <w:keepNext/>
        <w:spacing w:after="0" w:line="252" w:lineRule="auto"/>
        <w:contextualSpacing/>
        <w:jc w:val="both"/>
        <w:rPr>
          <w:rFonts w:ascii="Calibri" w:eastAsia="Calibri" w:hAnsi="Calibri" w:cs="Calibri"/>
          <w:b/>
          <w:sz w:val="6"/>
          <w:szCs w:val="6"/>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4"/>
        <w:gridCol w:w="1644"/>
        <w:gridCol w:w="1644"/>
        <w:gridCol w:w="2041"/>
        <w:gridCol w:w="2041"/>
      </w:tblGrid>
      <w:tr w:rsidR="002F35D4" w:rsidRPr="00447172" w14:paraId="5564000B" w14:textId="77777777" w:rsidTr="004459F3">
        <w:trPr>
          <w:trHeight w:val="561"/>
        </w:trPr>
        <w:tc>
          <w:tcPr>
            <w:tcW w:w="1644" w:type="dxa"/>
            <w:tcBorders>
              <w:top w:val="single" w:sz="8" w:space="0" w:color="auto"/>
              <w:left w:val="single" w:sz="8" w:space="0" w:color="auto"/>
              <w:bottom w:val="single" w:sz="8" w:space="0" w:color="auto"/>
            </w:tcBorders>
            <w:shd w:val="clear" w:color="auto" w:fill="E6E6E6"/>
            <w:noWrap/>
            <w:vAlign w:val="center"/>
            <w:hideMark/>
          </w:tcPr>
          <w:p w14:paraId="3C4F31FB" w14:textId="77777777" w:rsidR="005F2CC7" w:rsidRPr="004459F3" w:rsidRDefault="005F2CC7" w:rsidP="00E706F3">
            <w:pPr>
              <w:spacing w:after="0" w:line="252" w:lineRule="auto"/>
              <w:jc w:val="center"/>
              <w:rPr>
                <w:rFonts w:ascii="Calibri" w:hAnsi="Calibri" w:cs="Calibri"/>
                <w:b/>
                <w:bCs/>
                <w:color w:val="000000"/>
                <w:sz w:val="20"/>
                <w:szCs w:val="20"/>
                <w:lang w:eastAsia="cs-CZ"/>
              </w:rPr>
            </w:pPr>
            <w:r w:rsidRPr="004459F3">
              <w:rPr>
                <w:rFonts w:ascii="Calibri" w:hAnsi="Calibri" w:cs="Calibri"/>
                <w:b/>
                <w:bCs/>
                <w:color w:val="000000"/>
                <w:sz w:val="20"/>
                <w:szCs w:val="20"/>
              </w:rPr>
              <w:t>Dálnice</w:t>
            </w:r>
          </w:p>
        </w:tc>
        <w:tc>
          <w:tcPr>
            <w:tcW w:w="1644" w:type="dxa"/>
            <w:tcBorders>
              <w:top w:val="single" w:sz="8" w:space="0" w:color="auto"/>
              <w:bottom w:val="single" w:sz="8" w:space="0" w:color="auto"/>
            </w:tcBorders>
            <w:shd w:val="clear" w:color="auto" w:fill="E6E6E6"/>
            <w:vAlign w:val="center"/>
          </w:tcPr>
          <w:p w14:paraId="453D39C2" w14:textId="77777777" w:rsidR="005F2CC7" w:rsidRPr="004459F3" w:rsidRDefault="005F2CC7" w:rsidP="00E706F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ORP</w:t>
            </w:r>
          </w:p>
        </w:tc>
        <w:tc>
          <w:tcPr>
            <w:tcW w:w="1644" w:type="dxa"/>
            <w:tcBorders>
              <w:top w:val="single" w:sz="8" w:space="0" w:color="auto"/>
              <w:bottom w:val="single" w:sz="8" w:space="0" w:color="auto"/>
            </w:tcBorders>
            <w:shd w:val="clear" w:color="auto" w:fill="E6E6E6"/>
            <w:vAlign w:val="center"/>
          </w:tcPr>
          <w:p w14:paraId="58DD9D91" w14:textId="77777777" w:rsidR="005F2CC7" w:rsidRPr="004459F3" w:rsidRDefault="005F2CC7" w:rsidP="00E706F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Zahájení VKV</w:t>
            </w:r>
          </w:p>
        </w:tc>
        <w:tc>
          <w:tcPr>
            <w:tcW w:w="2041" w:type="dxa"/>
            <w:tcBorders>
              <w:top w:val="single" w:sz="8" w:space="0" w:color="auto"/>
              <w:bottom w:val="single" w:sz="8" w:space="0" w:color="auto"/>
            </w:tcBorders>
            <w:shd w:val="clear" w:color="auto" w:fill="E6E6E6"/>
            <w:vAlign w:val="center"/>
          </w:tcPr>
          <w:p w14:paraId="48F2B890" w14:textId="77777777" w:rsidR="005F2CC7" w:rsidRPr="004459F3" w:rsidRDefault="005F2CC7" w:rsidP="00E706F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 xml:space="preserve">Zjištěné vážní delikty </w:t>
            </w:r>
          </w:p>
        </w:tc>
        <w:tc>
          <w:tcPr>
            <w:tcW w:w="2041" w:type="dxa"/>
            <w:tcBorders>
              <w:top w:val="single" w:sz="8" w:space="0" w:color="auto"/>
              <w:bottom w:val="single" w:sz="8" w:space="0" w:color="auto"/>
              <w:right w:val="single" w:sz="8" w:space="0" w:color="auto"/>
            </w:tcBorders>
            <w:shd w:val="clear" w:color="auto" w:fill="E6E6E6"/>
            <w:vAlign w:val="center"/>
          </w:tcPr>
          <w:p w14:paraId="229F53F1" w14:textId="77777777" w:rsidR="005F2CC7" w:rsidRPr="004459F3" w:rsidRDefault="005F2CC7" w:rsidP="00763EAE">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Vážní delikty předané ORP</w:t>
            </w:r>
          </w:p>
        </w:tc>
      </w:tr>
      <w:tr w:rsidR="00C03227" w:rsidRPr="00447172" w14:paraId="0BB1AB5A" w14:textId="77777777" w:rsidTr="004459F3">
        <w:trPr>
          <w:trHeight w:val="340"/>
        </w:trPr>
        <w:tc>
          <w:tcPr>
            <w:tcW w:w="1644" w:type="dxa"/>
            <w:tcBorders>
              <w:top w:val="single" w:sz="8" w:space="0" w:color="auto"/>
              <w:left w:val="single" w:sz="8" w:space="0" w:color="auto"/>
            </w:tcBorders>
            <w:shd w:val="clear" w:color="auto" w:fill="auto"/>
            <w:noWrap/>
            <w:vAlign w:val="center"/>
            <w:hideMark/>
          </w:tcPr>
          <w:p w14:paraId="78628860"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D5</w:t>
            </w:r>
          </w:p>
        </w:tc>
        <w:tc>
          <w:tcPr>
            <w:tcW w:w="1644" w:type="dxa"/>
            <w:tcBorders>
              <w:top w:val="single" w:sz="8" w:space="0" w:color="auto"/>
            </w:tcBorders>
            <w:shd w:val="clear" w:color="auto" w:fill="auto"/>
            <w:vAlign w:val="center"/>
          </w:tcPr>
          <w:p w14:paraId="7716B7AB"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Nýřany</w:t>
            </w:r>
          </w:p>
        </w:tc>
        <w:tc>
          <w:tcPr>
            <w:tcW w:w="1644" w:type="dxa"/>
            <w:tcBorders>
              <w:top w:val="single" w:sz="8" w:space="0" w:color="auto"/>
            </w:tcBorders>
            <w:shd w:val="clear" w:color="auto" w:fill="auto"/>
            <w:vAlign w:val="center"/>
          </w:tcPr>
          <w:p w14:paraId="3D91116F"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01/2020</w:t>
            </w:r>
          </w:p>
        </w:tc>
        <w:tc>
          <w:tcPr>
            <w:tcW w:w="2041" w:type="dxa"/>
            <w:tcBorders>
              <w:top w:val="single" w:sz="8" w:space="0" w:color="auto"/>
            </w:tcBorders>
            <w:shd w:val="clear" w:color="auto" w:fill="auto"/>
            <w:noWrap/>
            <w:vAlign w:val="center"/>
          </w:tcPr>
          <w:p w14:paraId="0156A1F9" w14:textId="77777777"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51 216</w:t>
            </w:r>
          </w:p>
        </w:tc>
        <w:tc>
          <w:tcPr>
            <w:tcW w:w="2041" w:type="dxa"/>
            <w:tcBorders>
              <w:top w:val="single" w:sz="8" w:space="0" w:color="auto"/>
              <w:right w:val="single" w:sz="8" w:space="0" w:color="auto"/>
            </w:tcBorders>
            <w:vAlign w:val="center"/>
          </w:tcPr>
          <w:p w14:paraId="73908E58" w14:textId="207F4E07" w:rsidR="00C03227" w:rsidRPr="004459F3" w:rsidRDefault="00C0322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0 (0,00 %)</w:t>
            </w:r>
          </w:p>
        </w:tc>
      </w:tr>
      <w:tr w:rsidR="00C03227" w:rsidRPr="00447172" w14:paraId="7CF4F935" w14:textId="77777777" w:rsidTr="004459F3">
        <w:trPr>
          <w:trHeight w:val="340"/>
        </w:trPr>
        <w:tc>
          <w:tcPr>
            <w:tcW w:w="1644" w:type="dxa"/>
            <w:tcBorders>
              <w:left w:val="single" w:sz="8" w:space="0" w:color="auto"/>
            </w:tcBorders>
            <w:shd w:val="clear" w:color="auto" w:fill="auto"/>
            <w:noWrap/>
            <w:vAlign w:val="center"/>
            <w:hideMark/>
          </w:tcPr>
          <w:p w14:paraId="3A075192"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D35</w:t>
            </w:r>
          </w:p>
        </w:tc>
        <w:tc>
          <w:tcPr>
            <w:tcW w:w="1644" w:type="dxa"/>
            <w:shd w:val="clear" w:color="auto" w:fill="auto"/>
            <w:vAlign w:val="center"/>
          </w:tcPr>
          <w:p w14:paraId="45D11885"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Olomouc</w:t>
            </w:r>
          </w:p>
        </w:tc>
        <w:tc>
          <w:tcPr>
            <w:tcW w:w="1644" w:type="dxa"/>
            <w:shd w:val="clear" w:color="auto" w:fill="auto"/>
            <w:vAlign w:val="center"/>
          </w:tcPr>
          <w:p w14:paraId="01A66EED"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03/2020</w:t>
            </w:r>
          </w:p>
        </w:tc>
        <w:tc>
          <w:tcPr>
            <w:tcW w:w="2041" w:type="dxa"/>
            <w:shd w:val="clear" w:color="auto" w:fill="auto"/>
            <w:noWrap/>
            <w:vAlign w:val="center"/>
          </w:tcPr>
          <w:p w14:paraId="68FA2DF2" w14:textId="77777777"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40 564</w:t>
            </w:r>
          </w:p>
        </w:tc>
        <w:tc>
          <w:tcPr>
            <w:tcW w:w="2041" w:type="dxa"/>
            <w:tcBorders>
              <w:right w:val="single" w:sz="8" w:space="0" w:color="auto"/>
            </w:tcBorders>
            <w:vAlign w:val="center"/>
          </w:tcPr>
          <w:p w14:paraId="60C1916D" w14:textId="4EE12AEC" w:rsidR="00C03227" w:rsidRPr="004459F3" w:rsidRDefault="00C0322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428 (1,06 %)</w:t>
            </w:r>
          </w:p>
        </w:tc>
      </w:tr>
      <w:tr w:rsidR="00C03227" w:rsidRPr="00447172" w14:paraId="456C591A" w14:textId="77777777" w:rsidTr="004459F3">
        <w:trPr>
          <w:trHeight w:val="340"/>
        </w:trPr>
        <w:tc>
          <w:tcPr>
            <w:tcW w:w="1644" w:type="dxa"/>
            <w:tcBorders>
              <w:left w:val="single" w:sz="8" w:space="0" w:color="auto"/>
            </w:tcBorders>
            <w:shd w:val="clear" w:color="auto" w:fill="auto"/>
            <w:noWrap/>
            <w:vAlign w:val="center"/>
            <w:hideMark/>
          </w:tcPr>
          <w:p w14:paraId="5D0954B2"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D2</w:t>
            </w:r>
          </w:p>
        </w:tc>
        <w:tc>
          <w:tcPr>
            <w:tcW w:w="1644" w:type="dxa"/>
            <w:shd w:val="clear" w:color="auto" w:fill="auto"/>
            <w:vAlign w:val="center"/>
          </w:tcPr>
          <w:p w14:paraId="4A0326FA"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Židlochovice</w:t>
            </w:r>
          </w:p>
        </w:tc>
        <w:tc>
          <w:tcPr>
            <w:tcW w:w="1644" w:type="dxa"/>
            <w:shd w:val="clear" w:color="auto" w:fill="auto"/>
            <w:vAlign w:val="center"/>
          </w:tcPr>
          <w:p w14:paraId="75FB1763"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11/2021</w:t>
            </w:r>
          </w:p>
        </w:tc>
        <w:tc>
          <w:tcPr>
            <w:tcW w:w="2041" w:type="dxa"/>
            <w:shd w:val="clear" w:color="auto" w:fill="auto"/>
            <w:noWrap/>
            <w:vAlign w:val="center"/>
          </w:tcPr>
          <w:p w14:paraId="3CBD379D" w14:textId="166A02A1"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206 065</w:t>
            </w:r>
          </w:p>
        </w:tc>
        <w:tc>
          <w:tcPr>
            <w:tcW w:w="2041" w:type="dxa"/>
            <w:tcBorders>
              <w:right w:val="single" w:sz="8" w:space="0" w:color="auto"/>
            </w:tcBorders>
            <w:vAlign w:val="center"/>
          </w:tcPr>
          <w:p w14:paraId="420B453F" w14:textId="77777777" w:rsidR="00C03227" w:rsidRPr="004459F3" w:rsidRDefault="00C0322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134 007 (65,03 %)</w:t>
            </w:r>
          </w:p>
        </w:tc>
      </w:tr>
      <w:tr w:rsidR="00C03227" w:rsidRPr="00447172" w14:paraId="09BAD802" w14:textId="77777777" w:rsidTr="004459F3">
        <w:trPr>
          <w:trHeight w:val="340"/>
        </w:trPr>
        <w:tc>
          <w:tcPr>
            <w:tcW w:w="1644" w:type="dxa"/>
            <w:tcBorders>
              <w:left w:val="single" w:sz="8" w:space="0" w:color="auto"/>
            </w:tcBorders>
            <w:shd w:val="clear" w:color="auto" w:fill="auto"/>
            <w:noWrap/>
            <w:vAlign w:val="center"/>
            <w:hideMark/>
          </w:tcPr>
          <w:p w14:paraId="68A324C4"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D8</w:t>
            </w:r>
          </w:p>
        </w:tc>
        <w:tc>
          <w:tcPr>
            <w:tcW w:w="1644" w:type="dxa"/>
            <w:shd w:val="clear" w:color="auto" w:fill="auto"/>
            <w:vAlign w:val="center"/>
          </w:tcPr>
          <w:p w14:paraId="55C669BD"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Lovosice</w:t>
            </w:r>
          </w:p>
        </w:tc>
        <w:tc>
          <w:tcPr>
            <w:tcW w:w="1644" w:type="dxa"/>
            <w:shd w:val="clear" w:color="auto" w:fill="auto"/>
            <w:vAlign w:val="center"/>
          </w:tcPr>
          <w:p w14:paraId="37D35F23"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02/2022</w:t>
            </w:r>
          </w:p>
        </w:tc>
        <w:tc>
          <w:tcPr>
            <w:tcW w:w="2041" w:type="dxa"/>
            <w:shd w:val="clear" w:color="auto" w:fill="auto"/>
            <w:noWrap/>
            <w:vAlign w:val="center"/>
          </w:tcPr>
          <w:p w14:paraId="42F595A2" w14:textId="7BF38BDD"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139 921</w:t>
            </w:r>
          </w:p>
        </w:tc>
        <w:tc>
          <w:tcPr>
            <w:tcW w:w="2041" w:type="dxa"/>
            <w:tcBorders>
              <w:right w:val="single" w:sz="8" w:space="0" w:color="auto"/>
            </w:tcBorders>
            <w:vAlign w:val="center"/>
          </w:tcPr>
          <w:p w14:paraId="627A5279" w14:textId="77777777" w:rsidR="00C03227" w:rsidRPr="004459F3" w:rsidRDefault="00C0322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119 216 (85,20 %)</w:t>
            </w:r>
          </w:p>
        </w:tc>
      </w:tr>
      <w:tr w:rsidR="002F35D4" w:rsidRPr="00447172" w14:paraId="07747EB4" w14:textId="77777777" w:rsidTr="004459F3">
        <w:trPr>
          <w:trHeight w:val="340"/>
        </w:trPr>
        <w:tc>
          <w:tcPr>
            <w:tcW w:w="1644" w:type="dxa"/>
            <w:tcBorders>
              <w:left w:val="single" w:sz="8" w:space="0" w:color="auto"/>
            </w:tcBorders>
            <w:shd w:val="clear" w:color="auto" w:fill="auto"/>
            <w:noWrap/>
            <w:vAlign w:val="center"/>
          </w:tcPr>
          <w:p w14:paraId="5FFD755A"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D1</w:t>
            </w:r>
          </w:p>
        </w:tc>
        <w:tc>
          <w:tcPr>
            <w:tcW w:w="1644" w:type="dxa"/>
            <w:shd w:val="clear" w:color="auto" w:fill="auto"/>
            <w:vAlign w:val="center"/>
          </w:tcPr>
          <w:p w14:paraId="198BF97B"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Jihlava</w:t>
            </w:r>
          </w:p>
        </w:tc>
        <w:tc>
          <w:tcPr>
            <w:tcW w:w="1644" w:type="dxa"/>
            <w:shd w:val="clear" w:color="auto" w:fill="auto"/>
            <w:vAlign w:val="center"/>
          </w:tcPr>
          <w:p w14:paraId="29EE99DC"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03/2022</w:t>
            </w:r>
          </w:p>
        </w:tc>
        <w:tc>
          <w:tcPr>
            <w:tcW w:w="2041" w:type="dxa"/>
            <w:shd w:val="clear" w:color="auto" w:fill="auto"/>
            <w:noWrap/>
            <w:vAlign w:val="center"/>
          </w:tcPr>
          <w:p w14:paraId="41914CE9" w14:textId="77777777" w:rsidR="005F2CC7" w:rsidRPr="004459F3" w:rsidRDefault="005F2CC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46 718</w:t>
            </w:r>
          </w:p>
        </w:tc>
        <w:tc>
          <w:tcPr>
            <w:tcW w:w="2041" w:type="dxa"/>
            <w:tcBorders>
              <w:right w:val="single" w:sz="8" w:space="0" w:color="auto"/>
            </w:tcBorders>
            <w:vAlign w:val="center"/>
          </w:tcPr>
          <w:p w14:paraId="7E406520" w14:textId="2F388B68" w:rsidR="005F2CC7" w:rsidRPr="004459F3" w:rsidRDefault="005F2CC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30 063 (64,35 %)</w:t>
            </w:r>
          </w:p>
        </w:tc>
      </w:tr>
      <w:tr w:rsidR="00C03227" w:rsidRPr="00447172" w14:paraId="5ACA3CCF" w14:textId="77777777" w:rsidTr="004459F3">
        <w:trPr>
          <w:trHeight w:val="340"/>
        </w:trPr>
        <w:tc>
          <w:tcPr>
            <w:tcW w:w="1644" w:type="dxa"/>
            <w:tcBorders>
              <w:left w:val="single" w:sz="8" w:space="0" w:color="auto"/>
            </w:tcBorders>
            <w:shd w:val="clear" w:color="auto" w:fill="auto"/>
            <w:noWrap/>
            <w:vAlign w:val="center"/>
            <w:hideMark/>
          </w:tcPr>
          <w:p w14:paraId="1B2D7F75"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D48</w:t>
            </w:r>
          </w:p>
        </w:tc>
        <w:tc>
          <w:tcPr>
            <w:tcW w:w="1644" w:type="dxa"/>
            <w:shd w:val="clear" w:color="auto" w:fill="auto"/>
            <w:vAlign w:val="center"/>
          </w:tcPr>
          <w:p w14:paraId="3B7F6A98"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Frýdek-Místek</w:t>
            </w:r>
          </w:p>
        </w:tc>
        <w:tc>
          <w:tcPr>
            <w:tcW w:w="1644" w:type="dxa"/>
            <w:shd w:val="clear" w:color="auto" w:fill="auto"/>
            <w:vAlign w:val="center"/>
          </w:tcPr>
          <w:p w14:paraId="222920D0" w14:textId="77777777" w:rsidR="00C03227" w:rsidRPr="004459F3" w:rsidRDefault="00C0322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09/2023</w:t>
            </w:r>
          </w:p>
        </w:tc>
        <w:tc>
          <w:tcPr>
            <w:tcW w:w="2041" w:type="dxa"/>
            <w:shd w:val="clear" w:color="auto" w:fill="auto"/>
            <w:noWrap/>
            <w:vAlign w:val="center"/>
          </w:tcPr>
          <w:p w14:paraId="1EDC8C01" w14:textId="49499206"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5 481</w:t>
            </w:r>
          </w:p>
        </w:tc>
        <w:tc>
          <w:tcPr>
            <w:tcW w:w="2041" w:type="dxa"/>
            <w:tcBorders>
              <w:right w:val="single" w:sz="8" w:space="0" w:color="auto"/>
            </w:tcBorders>
            <w:vAlign w:val="center"/>
          </w:tcPr>
          <w:p w14:paraId="0DF3BDEF" w14:textId="2748EF4C" w:rsidR="00C03227" w:rsidRPr="004459F3" w:rsidRDefault="00C0322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4 984 (90,93 %)</w:t>
            </w:r>
          </w:p>
        </w:tc>
      </w:tr>
      <w:tr w:rsidR="002F35D4" w:rsidRPr="00447172" w14:paraId="392864D0" w14:textId="77777777" w:rsidTr="004459F3">
        <w:trPr>
          <w:trHeight w:val="340"/>
        </w:trPr>
        <w:tc>
          <w:tcPr>
            <w:tcW w:w="1644" w:type="dxa"/>
            <w:tcBorders>
              <w:left w:val="single" w:sz="8" w:space="0" w:color="auto"/>
              <w:bottom w:val="single" w:sz="8" w:space="0" w:color="auto"/>
            </w:tcBorders>
            <w:shd w:val="clear" w:color="auto" w:fill="auto"/>
            <w:noWrap/>
            <w:vAlign w:val="center"/>
            <w:hideMark/>
          </w:tcPr>
          <w:p w14:paraId="1B8BB9E0"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D4</w:t>
            </w:r>
          </w:p>
        </w:tc>
        <w:tc>
          <w:tcPr>
            <w:tcW w:w="1644" w:type="dxa"/>
            <w:tcBorders>
              <w:bottom w:val="single" w:sz="8" w:space="0" w:color="auto"/>
            </w:tcBorders>
            <w:shd w:val="clear" w:color="auto" w:fill="auto"/>
            <w:vAlign w:val="center"/>
          </w:tcPr>
          <w:p w14:paraId="5A6696B2"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Černošice</w:t>
            </w:r>
          </w:p>
        </w:tc>
        <w:tc>
          <w:tcPr>
            <w:tcW w:w="1644" w:type="dxa"/>
            <w:tcBorders>
              <w:bottom w:val="single" w:sz="8" w:space="0" w:color="auto"/>
            </w:tcBorders>
            <w:shd w:val="clear" w:color="auto" w:fill="auto"/>
            <w:vAlign w:val="center"/>
          </w:tcPr>
          <w:p w14:paraId="2CB02014" w14:textId="77777777" w:rsidR="005F2CC7" w:rsidRPr="004459F3" w:rsidRDefault="005F2CC7" w:rsidP="00763EAE">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04/2024</w:t>
            </w:r>
          </w:p>
        </w:tc>
        <w:tc>
          <w:tcPr>
            <w:tcW w:w="2041" w:type="dxa"/>
            <w:tcBorders>
              <w:bottom w:val="single" w:sz="8" w:space="0" w:color="auto"/>
            </w:tcBorders>
            <w:shd w:val="clear" w:color="auto" w:fill="auto"/>
            <w:noWrap/>
            <w:vAlign w:val="center"/>
          </w:tcPr>
          <w:p w14:paraId="7BCB6AF1" w14:textId="2673CA05" w:rsidR="005F2CC7" w:rsidRPr="004459F3" w:rsidRDefault="005F2CC7" w:rsidP="004459F3">
            <w:pPr>
              <w:spacing w:after="0" w:line="252" w:lineRule="auto"/>
              <w:ind w:right="113"/>
              <w:jc w:val="right"/>
              <w:rPr>
                <w:rFonts w:ascii="Calibri" w:hAnsi="Calibri" w:cs="Calibri"/>
                <w:color w:val="000000"/>
                <w:sz w:val="20"/>
                <w:szCs w:val="20"/>
              </w:rPr>
            </w:pPr>
            <w:r w:rsidRPr="004459F3">
              <w:rPr>
                <w:rFonts w:ascii="Calibri" w:hAnsi="Calibri" w:cs="Calibri"/>
                <w:color w:val="000000"/>
                <w:sz w:val="20"/>
                <w:szCs w:val="20"/>
              </w:rPr>
              <w:t>5 742</w:t>
            </w:r>
          </w:p>
        </w:tc>
        <w:tc>
          <w:tcPr>
            <w:tcW w:w="2041" w:type="dxa"/>
            <w:tcBorders>
              <w:bottom w:val="single" w:sz="8" w:space="0" w:color="auto"/>
              <w:right w:val="single" w:sz="8" w:space="0" w:color="auto"/>
            </w:tcBorders>
            <w:vAlign w:val="center"/>
          </w:tcPr>
          <w:p w14:paraId="45D28AEC" w14:textId="3410FA45" w:rsidR="005F2CC7" w:rsidRPr="004459F3" w:rsidRDefault="005F2CC7" w:rsidP="004459F3">
            <w:pPr>
              <w:spacing w:after="0" w:line="252" w:lineRule="auto"/>
              <w:ind w:right="85"/>
              <w:jc w:val="right"/>
              <w:rPr>
                <w:rFonts w:ascii="Calibri" w:hAnsi="Calibri" w:cs="Calibri"/>
                <w:color w:val="000000"/>
                <w:sz w:val="20"/>
                <w:szCs w:val="20"/>
              </w:rPr>
            </w:pPr>
            <w:r w:rsidRPr="004459F3">
              <w:rPr>
                <w:rFonts w:ascii="Calibri" w:hAnsi="Calibri" w:cs="Calibri"/>
                <w:color w:val="000000"/>
                <w:sz w:val="20"/>
                <w:szCs w:val="20"/>
              </w:rPr>
              <w:t>613</w:t>
            </w:r>
            <w:r w:rsidR="00C03227" w:rsidRPr="004459F3">
              <w:rPr>
                <w:rFonts w:ascii="Calibri" w:hAnsi="Calibri" w:cs="Calibri"/>
                <w:color w:val="000000"/>
                <w:sz w:val="20"/>
                <w:szCs w:val="20"/>
              </w:rPr>
              <w:t xml:space="preserve"> </w:t>
            </w:r>
            <w:r w:rsidRPr="004459F3">
              <w:rPr>
                <w:rFonts w:ascii="Calibri" w:hAnsi="Calibri" w:cs="Calibri"/>
                <w:color w:val="000000"/>
                <w:sz w:val="20"/>
                <w:szCs w:val="20"/>
              </w:rPr>
              <w:t>(10,68 %)</w:t>
            </w:r>
          </w:p>
        </w:tc>
      </w:tr>
      <w:tr w:rsidR="00C03227" w:rsidRPr="00447172" w14:paraId="2C6DC60F" w14:textId="77777777" w:rsidTr="004459F3">
        <w:trPr>
          <w:trHeight w:val="340"/>
        </w:trPr>
        <w:tc>
          <w:tcPr>
            <w:tcW w:w="4932" w:type="dxa"/>
            <w:gridSpan w:val="3"/>
            <w:tcBorders>
              <w:top w:val="single" w:sz="8" w:space="0" w:color="auto"/>
              <w:left w:val="single" w:sz="8" w:space="0" w:color="auto"/>
              <w:bottom w:val="single" w:sz="8" w:space="0" w:color="auto"/>
            </w:tcBorders>
            <w:shd w:val="clear" w:color="auto" w:fill="auto"/>
            <w:noWrap/>
            <w:vAlign w:val="center"/>
          </w:tcPr>
          <w:p w14:paraId="5DB05AAC" w14:textId="4319F37D" w:rsidR="009E11EA" w:rsidRPr="004459F3" w:rsidRDefault="00C03227" w:rsidP="004459F3">
            <w:pPr>
              <w:spacing w:after="0" w:line="252" w:lineRule="auto"/>
              <w:ind w:right="397"/>
              <w:jc w:val="right"/>
              <w:rPr>
                <w:rFonts w:ascii="Calibri" w:hAnsi="Calibri" w:cs="Calibri"/>
                <w:b/>
                <w:color w:val="000000"/>
                <w:sz w:val="20"/>
                <w:szCs w:val="20"/>
              </w:rPr>
            </w:pPr>
            <w:r w:rsidRPr="004459F3">
              <w:rPr>
                <w:rFonts w:ascii="Calibri" w:hAnsi="Calibri" w:cs="Calibri"/>
                <w:b/>
                <w:color w:val="000000"/>
                <w:sz w:val="20"/>
                <w:szCs w:val="20"/>
              </w:rPr>
              <w:t>Celkem</w:t>
            </w:r>
          </w:p>
        </w:tc>
        <w:tc>
          <w:tcPr>
            <w:tcW w:w="2041" w:type="dxa"/>
            <w:tcBorders>
              <w:top w:val="single" w:sz="8" w:space="0" w:color="auto"/>
              <w:bottom w:val="single" w:sz="8" w:space="0" w:color="auto"/>
            </w:tcBorders>
            <w:shd w:val="clear" w:color="auto" w:fill="auto"/>
            <w:noWrap/>
            <w:vAlign w:val="center"/>
          </w:tcPr>
          <w:p w14:paraId="519373E4" w14:textId="77777777" w:rsidR="00C03227" w:rsidRPr="004459F3" w:rsidRDefault="00C03227" w:rsidP="004459F3">
            <w:pPr>
              <w:spacing w:after="0" w:line="252" w:lineRule="auto"/>
              <w:ind w:right="113"/>
              <w:jc w:val="right"/>
              <w:rPr>
                <w:rFonts w:ascii="Calibri" w:hAnsi="Calibri" w:cs="Calibri"/>
                <w:color w:val="000000"/>
                <w:sz w:val="20"/>
                <w:szCs w:val="20"/>
              </w:rPr>
            </w:pPr>
            <w:r w:rsidRPr="004459F3">
              <w:rPr>
                <w:rFonts w:ascii="Calibri" w:hAnsi="Calibri" w:cs="Calibri"/>
                <w:b/>
                <w:color w:val="000000"/>
                <w:sz w:val="20"/>
                <w:szCs w:val="20"/>
              </w:rPr>
              <w:t>495 707</w:t>
            </w:r>
          </w:p>
        </w:tc>
        <w:tc>
          <w:tcPr>
            <w:tcW w:w="2041" w:type="dxa"/>
            <w:tcBorders>
              <w:top w:val="single" w:sz="8" w:space="0" w:color="auto"/>
              <w:bottom w:val="single" w:sz="8" w:space="0" w:color="auto"/>
              <w:right w:val="single" w:sz="8" w:space="0" w:color="auto"/>
            </w:tcBorders>
            <w:vAlign w:val="center"/>
          </w:tcPr>
          <w:p w14:paraId="20D1D1E3" w14:textId="77777777" w:rsidR="009E11EA" w:rsidRPr="004459F3" w:rsidRDefault="00C03227" w:rsidP="004459F3">
            <w:pPr>
              <w:spacing w:after="0" w:line="252" w:lineRule="auto"/>
              <w:ind w:right="85"/>
              <w:jc w:val="right"/>
              <w:rPr>
                <w:rFonts w:ascii="Calibri" w:hAnsi="Calibri" w:cs="Calibri"/>
                <w:b/>
                <w:color w:val="000000"/>
                <w:sz w:val="20"/>
                <w:szCs w:val="20"/>
              </w:rPr>
            </w:pPr>
            <w:r w:rsidRPr="004459F3">
              <w:rPr>
                <w:rFonts w:ascii="Calibri" w:hAnsi="Calibri" w:cs="Calibri"/>
                <w:b/>
                <w:color w:val="000000"/>
                <w:sz w:val="20"/>
                <w:szCs w:val="20"/>
              </w:rPr>
              <w:t>289 311 (58,36 %)</w:t>
            </w:r>
          </w:p>
        </w:tc>
      </w:tr>
    </w:tbl>
    <w:p w14:paraId="0A540A10" w14:textId="60E4A048" w:rsidR="00A83EFC" w:rsidRDefault="00A83EFC" w:rsidP="004459F3">
      <w:pPr>
        <w:tabs>
          <w:tab w:val="left" w:pos="7390"/>
          <w:tab w:val="right" w:pos="9071"/>
        </w:tabs>
        <w:spacing w:after="0" w:line="252" w:lineRule="auto"/>
        <w:contextualSpacing/>
        <w:rPr>
          <w:rFonts w:ascii="Calibri" w:eastAsia="Aptos" w:hAnsi="Calibri" w:cs="Calibri"/>
          <w:sz w:val="20"/>
          <w:szCs w:val="20"/>
        </w:rPr>
      </w:pPr>
      <w:r w:rsidRPr="004459F3">
        <w:rPr>
          <w:rFonts w:cstheme="minorHAnsi"/>
          <w:b/>
          <w:bCs/>
          <w:sz w:val="20"/>
          <w:szCs w:val="20"/>
        </w:rPr>
        <w:t>Zdroj:</w:t>
      </w:r>
      <w:r>
        <w:rPr>
          <w:rFonts w:cstheme="minorHAnsi"/>
          <w:sz w:val="20"/>
          <w:szCs w:val="20"/>
        </w:rPr>
        <w:t xml:space="preserve"> ŘSD</w:t>
      </w:r>
      <w:r w:rsidR="00F12B7E">
        <w:rPr>
          <w:rFonts w:cstheme="minorHAnsi"/>
          <w:sz w:val="20"/>
          <w:szCs w:val="20"/>
        </w:rPr>
        <w:t>.</w:t>
      </w:r>
    </w:p>
    <w:p w14:paraId="5512CEC5" w14:textId="4A6315B3" w:rsidR="00D80621" w:rsidRPr="000D04F3" w:rsidRDefault="00D80621" w:rsidP="00D80621">
      <w:pPr>
        <w:spacing w:after="0" w:line="252" w:lineRule="auto"/>
        <w:contextualSpacing/>
        <w:jc w:val="both"/>
        <w:rPr>
          <w:rFonts w:cstheme="minorHAnsi"/>
          <w:sz w:val="20"/>
          <w:szCs w:val="20"/>
        </w:rPr>
      </w:pPr>
      <w:r w:rsidRPr="004C6F4D">
        <w:rPr>
          <w:rFonts w:ascii="Calibri" w:eastAsia="Aptos" w:hAnsi="Calibri" w:cs="Calibri"/>
          <w:sz w:val="20"/>
          <w:szCs w:val="20"/>
        </w:rPr>
        <w:t>* Stav k 21. 10. 2024.</w:t>
      </w:r>
    </w:p>
    <w:p w14:paraId="4D9335EE" w14:textId="77777777" w:rsidR="00FB0D64" w:rsidRDefault="00FB0D64" w:rsidP="00D95B87">
      <w:pPr>
        <w:spacing w:after="0" w:line="252" w:lineRule="auto"/>
        <w:contextualSpacing/>
        <w:jc w:val="both"/>
        <w:rPr>
          <w:rFonts w:ascii="Calibri" w:eastAsia="Aptos" w:hAnsi="Calibri" w:cs="Calibri"/>
          <w:sz w:val="24"/>
          <w:szCs w:val="24"/>
        </w:rPr>
      </w:pPr>
    </w:p>
    <w:p w14:paraId="2388C78D" w14:textId="6F6F53B8" w:rsidR="00A33C87" w:rsidRDefault="00C73FE9" w:rsidP="008F0628">
      <w:pPr>
        <w:spacing w:after="0" w:line="252" w:lineRule="auto"/>
        <w:contextualSpacing/>
        <w:jc w:val="both"/>
        <w:rPr>
          <w:rFonts w:cstheme="minorHAnsi"/>
          <w:sz w:val="24"/>
          <w:szCs w:val="24"/>
        </w:rPr>
      </w:pPr>
      <w:r>
        <w:rPr>
          <w:rFonts w:ascii="Calibri" w:eastAsia="Aptos" w:hAnsi="Calibri" w:cs="Calibri"/>
          <w:sz w:val="24"/>
          <w:szCs w:val="24"/>
        </w:rPr>
        <w:t>4.2</w:t>
      </w:r>
      <w:r w:rsidR="00216774">
        <w:rPr>
          <w:rFonts w:ascii="Calibri" w:eastAsia="Aptos" w:hAnsi="Calibri" w:cs="Calibri"/>
          <w:sz w:val="24"/>
          <w:szCs w:val="24"/>
        </w:rPr>
        <w:t>5</w:t>
      </w:r>
      <w:r>
        <w:rPr>
          <w:rFonts w:ascii="Calibri" w:eastAsia="Aptos" w:hAnsi="Calibri" w:cs="Calibri"/>
          <w:sz w:val="24"/>
          <w:szCs w:val="24"/>
        </w:rPr>
        <w:t xml:space="preserve"> </w:t>
      </w:r>
      <w:r w:rsidR="00192EF8">
        <w:rPr>
          <w:rFonts w:ascii="Calibri" w:eastAsia="Aptos" w:hAnsi="Calibri" w:cs="Calibri"/>
          <w:sz w:val="24"/>
          <w:szCs w:val="24"/>
        </w:rPr>
        <w:t xml:space="preserve">Informace o počtu vážních deliktů, které ORP </w:t>
      </w:r>
      <w:r w:rsidR="00FA36EA">
        <w:rPr>
          <w:rFonts w:ascii="Calibri" w:eastAsia="Aptos" w:hAnsi="Calibri" w:cs="Calibri"/>
          <w:sz w:val="24"/>
          <w:szCs w:val="24"/>
        </w:rPr>
        <w:t xml:space="preserve">po jejich převzetí skutečně </w:t>
      </w:r>
      <w:r w:rsidR="00192EF8">
        <w:rPr>
          <w:rFonts w:ascii="Calibri" w:eastAsia="Aptos" w:hAnsi="Calibri" w:cs="Calibri"/>
          <w:sz w:val="24"/>
          <w:szCs w:val="24"/>
        </w:rPr>
        <w:t>řešily v přestupkovém řízení</w:t>
      </w:r>
      <w:r w:rsidR="001737B2">
        <w:rPr>
          <w:rFonts w:ascii="Calibri" w:eastAsia="Aptos" w:hAnsi="Calibri" w:cs="Calibri"/>
          <w:sz w:val="24"/>
          <w:szCs w:val="24"/>
        </w:rPr>
        <w:t>, ani informace o tom,</w:t>
      </w:r>
      <w:r w:rsidR="00192EF8">
        <w:rPr>
          <w:rFonts w:ascii="Calibri" w:eastAsia="Aptos" w:hAnsi="Calibri" w:cs="Calibri"/>
          <w:sz w:val="24"/>
          <w:szCs w:val="24"/>
        </w:rPr>
        <w:t xml:space="preserve"> kolik z</w:t>
      </w:r>
      <w:r w:rsidR="00304F81">
        <w:rPr>
          <w:rFonts w:ascii="Calibri" w:eastAsia="Aptos" w:hAnsi="Calibri" w:cs="Calibri"/>
          <w:sz w:val="24"/>
          <w:szCs w:val="24"/>
        </w:rPr>
        <w:t xml:space="preserve"> </w:t>
      </w:r>
      <w:r w:rsidR="001737B2">
        <w:rPr>
          <w:rFonts w:ascii="Calibri" w:eastAsia="Aptos" w:hAnsi="Calibri" w:cs="Calibri"/>
          <w:sz w:val="24"/>
          <w:szCs w:val="24"/>
        </w:rPr>
        <w:t>těchto řízení</w:t>
      </w:r>
      <w:r w:rsidR="00192EF8">
        <w:rPr>
          <w:rFonts w:ascii="Calibri" w:eastAsia="Aptos" w:hAnsi="Calibri" w:cs="Calibri"/>
          <w:sz w:val="24"/>
          <w:szCs w:val="24"/>
        </w:rPr>
        <w:t xml:space="preserve"> skončilo potrestáním zjištěného vážního deliktu</w:t>
      </w:r>
      <w:r w:rsidR="00AE47B0">
        <w:rPr>
          <w:rFonts w:ascii="Calibri" w:eastAsia="Aptos" w:hAnsi="Calibri" w:cs="Calibri"/>
          <w:sz w:val="24"/>
          <w:szCs w:val="24"/>
        </w:rPr>
        <w:t>,</w:t>
      </w:r>
      <w:r w:rsidR="00192EF8">
        <w:rPr>
          <w:rFonts w:ascii="Calibri" w:eastAsia="Aptos" w:hAnsi="Calibri" w:cs="Calibri"/>
          <w:sz w:val="24"/>
          <w:szCs w:val="24"/>
        </w:rPr>
        <w:t xml:space="preserve"> nem</w:t>
      </w:r>
      <w:r w:rsidR="00BF0773">
        <w:rPr>
          <w:rFonts w:ascii="Calibri" w:eastAsia="Aptos" w:hAnsi="Calibri" w:cs="Calibri"/>
          <w:sz w:val="24"/>
          <w:szCs w:val="24"/>
        </w:rPr>
        <w:t>ají</w:t>
      </w:r>
      <w:r w:rsidR="00192EF8">
        <w:rPr>
          <w:rFonts w:ascii="Calibri" w:eastAsia="Aptos" w:hAnsi="Calibri" w:cs="Calibri"/>
          <w:sz w:val="24"/>
          <w:szCs w:val="24"/>
        </w:rPr>
        <w:t xml:space="preserve"> ŘSD ani MD k dispozici. V případě, že by všech</w:t>
      </w:r>
      <w:r w:rsidR="00BF0773">
        <w:rPr>
          <w:rFonts w:ascii="Calibri" w:eastAsia="Aptos" w:hAnsi="Calibri" w:cs="Calibri"/>
          <w:sz w:val="24"/>
          <w:szCs w:val="24"/>
        </w:rPr>
        <w:t xml:space="preserve"> </w:t>
      </w:r>
      <w:r w:rsidR="00BF0773">
        <w:rPr>
          <w:rFonts w:cstheme="minorHAnsi"/>
          <w:sz w:val="24"/>
          <w:szCs w:val="24"/>
        </w:rPr>
        <w:t xml:space="preserve">289 311 </w:t>
      </w:r>
      <w:r w:rsidR="00192EF8">
        <w:rPr>
          <w:rFonts w:ascii="Calibri" w:eastAsia="Aptos" w:hAnsi="Calibri" w:cs="Calibri"/>
          <w:sz w:val="24"/>
          <w:szCs w:val="24"/>
        </w:rPr>
        <w:t>vážní</w:t>
      </w:r>
      <w:r w:rsidR="00BF0773">
        <w:rPr>
          <w:rFonts w:ascii="Calibri" w:eastAsia="Aptos" w:hAnsi="Calibri" w:cs="Calibri"/>
          <w:sz w:val="24"/>
          <w:szCs w:val="24"/>
        </w:rPr>
        <w:t>ch</w:t>
      </w:r>
      <w:r w:rsidR="00192EF8">
        <w:rPr>
          <w:rFonts w:ascii="Calibri" w:eastAsia="Aptos" w:hAnsi="Calibri" w:cs="Calibri"/>
          <w:sz w:val="24"/>
          <w:szCs w:val="24"/>
        </w:rPr>
        <w:t xml:space="preserve"> delikt</w:t>
      </w:r>
      <w:r w:rsidR="00BF0773">
        <w:rPr>
          <w:rFonts w:ascii="Calibri" w:eastAsia="Aptos" w:hAnsi="Calibri" w:cs="Calibri"/>
          <w:sz w:val="24"/>
          <w:szCs w:val="24"/>
        </w:rPr>
        <w:t>ů</w:t>
      </w:r>
      <w:r w:rsidR="00192EF8">
        <w:rPr>
          <w:rFonts w:ascii="Calibri" w:eastAsia="Aptos" w:hAnsi="Calibri" w:cs="Calibri"/>
          <w:sz w:val="24"/>
          <w:szCs w:val="24"/>
        </w:rPr>
        <w:t xml:space="preserve"> </w:t>
      </w:r>
      <w:r w:rsidR="00192EF8" w:rsidRPr="00052107">
        <w:rPr>
          <w:rFonts w:ascii="Calibri" w:eastAsia="Aptos" w:hAnsi="Calibri" w:cs="Calibri"/>
          <w:sz w:val="24"/>
          <w:szCs w:val="24"/>
        </w:rPr>
        <w:t>předan</w:t>
      </w:r>
      <w:r w:rsidR="00BF0773" w:rsidRPr="00052107">
        <w:rPr>
          <w:rFonts w:ascii="Calibri" w:eastAsia="Aptos" w:hAnsi="Calibri" w:cs="Calibri"/>
          <w:sz w:val="24"/>
          <w:szCs w:val="24"/>
        </w:rPr>
        <w:t>ých</w:t>
      </w:r>
      <w:r w:rsidR="00192EF8" w:rsidRPr="00052107">
        <w:rPr>
          <w:rFonts w:ascii="Calibri" w:eastAsia="Aptos" w:hAnsi="Calibri" w:cs="Calibri"/>
          <w:sz w:val="24"/>
          <w:szCs w:val="24"/>
        </w:rPr>
        <w:t xml:space="preserve"> ORP </w:t>
      </w:r>
      <w:r w:rsidR="009E11EA" w:rsidRPr="00052107">
        <w:rPr>
          <w:rFonts w:ascii="Calibri" w:eastAsia="Aptos" w:hAnsi="Calibri" w:cs="Calibri"/>
          <w:sz w:val="24"/>
          <w:szCs w:val="24"/>
        </w:rPr>
        <w:t xml:space="preserve">(což navíc představuje jen něco přes polovinu detekovaných deliktů – viz tabulka č. 3) </w:t>
      </w:r>
      <w:r w:rsidR="00192EF8" w:rsidRPr="00052107">
        <w:rPr>
          <w:rFonts w:ascii="Calibri" w:eastAsia="Aptos" w:hAnsi="Calibri" w:cs="Calibri"/>
          <w:sz w:val="24"/>
          <w:szCs w:val="24"/>
        </w:rPr>
        <w:t>skončil</w:t>
      </w:r>
      <w:r w:rsidR="00BF0773" w:rsidRPr="00052107">
        <w:rPr>
          <w:rFonts w:ascii="Calibri" w:eastAsia="Aptos" w:hAnsi="Calibri" w:cs="Calibri"/>
          <w:sz w:val="24"/>
          <w:szCs w:val="24"/>
        </w:rPr>
        <w:t>o</w:t>
      </w:r>
      <w:r w:rsidR="00192EF8" w:rsidRPr="00052107">
        <w:rPr>
          <w:rFonts w:ascii="Calibri" w:eastAsia="Aptos" w:hAnsi="Calibri" w:cs="Calibri"/>
          <w:sz w:val="24"/>
          <w:szCs w:val="24"/>
        </w:rPr>
        <w:t xml:space="preserve"> udělením pokuty</w:t>
      </w:r>
      <w:r w:rsidR="00825453" w:rsidRPr="00052107">
        <w:rPr>
          <w:rFonts w:ascii="Calibri" w:eastAsia="Aptos" w:hAnsi="Calibri" w:cs="Calibri"/>
          <w:sz w:val="24"/>
          <w:szCs w:val="24"/>
        </w:rPr>
        <w:t>,</w:t>
      </w:r>
      <w:r w:rsidR="00192EF8" w:rsidRPr="00052107">
        <w:rPr>
          <w:rFonts w:ascii="Calibri" w:eastAsia="Aptos" w:hAnsi="Calibri" w:cs="Calibri"/>
          <w:sz w:val="24"/>
          <w:szCs w:val="24"/>
        </w:rPr>
        <w:t xml:space="preserve"> byť jen v minimální výši </w:t>
      </w:r>
      <w:r w:rsidR="00825453" w:rsidRPr="00052107">
        <w:rPr>
          <w:rFonts w:cstheme="minorHAnsi"/>
          <w:sz w:val="24"/>
          <w:szCs w:val="24"/>
        </w:rPr>
        <w:t xml:space="preserve">5 000 Kč </w:t>
      </w:r>
      <w:r w:rsidRPr="00052107">
        <w:rPr>
          <w:rFonts w:cstheme="minorHAnsi"/>
          <w:sz w:val="24"/>
          <w:szCs w:val="24"/>
        </w:rPr>
        <w:t>(</w:t>
      </w:r>
      <w:r w:rsidR="00825453" w:rsidRPr="00052107">
        <w:rPr>
          <w:rFonts w:cstheme="minorHAnsi"/>
          <w:sz w:val="24"/>
          <w:szCs w:val="24"/>
        </w:rPr>
        <w:t>při nepřekročení nejvyšší</w:t>
      </w:r>
      <w:r w:rsidR="00825453" w:rsidRPr="002C4E3B">
        <w:rPr>
          <w:rFonts w:cstheme="minorHAnsi"/>
          <w:sz w:val="24"/>
          <w:szCs w:val="24"/>
        </w:rPr>
        <w:t xml:space="preserve"> povolen</w:t>
      </w:r>
      <w:r>
        <w:rPr>
          <w:rFonts w:cstheme="minorHAnsi"/>
          <w:sz w:val="24"/>
          <w:szCs w:val="24"/>
        </w:rPr>
        <w:t>é</w:t>
      </w:r>
      <w:r w:rsidR="00825453" w:rsidRPr="002C4E3B">
        <w:rPr>
          <w:rFonts w:cstheme="minorHAnsi"/>
          <w:sz w:val="24"/>
          <w:szCs w:val="24"/>
        </w:rPr>
        <w:t xml:space="preserve"> hmotnost vozidla nebo jízdní soupravy</w:t>
      </w:r>
      <w:r w:rsidR="00825453" w:rsidRPr="00825453">
        <w:rPr>
          <w:rFonts w:cstheme="minorHAnsi"/>
          <w:sz w:val="24"/>
          <w:szCs w:val="24"/>
        </w:rPr>
        <w:t xml:space="preserve"> </w:t>
      </w:r>
      <w:r w:rsidR="00825453" w:rsidRPr="002C4E3B">
        <w:rPr>
          <w:rFonts w:cstheme="minorHAnsi"/>
          <w:sz w:val="24"/>
          <w:szCs w:val="24"/>
        </w:rPr>
        <w:t>o více než 500 kg</w:t>
      </w:r>
      <w:r>
        <w:rPr>
          <w:rFonts w:cstheme="minorHAnsi"/>
          <w:sz w:val="24"/>
          <w:szCs w:val="24"/>
        </w:rPr>
        <w:t>)</w:t>
      </w:r>
      <w:r w:rsidR="00825453">
        <w:rPr>
          <w:rFonts w:cstheme="minorHAnsi"/>
          <w:sz w:val="24"/>
          <w:szCs w:val="24"/>
        </w:rPr>
        <w:t>, celkov</w:t>
      </w:r>
      <w:r w:rsidR="00FE7ABA">
        <w:rPr>
          <w:rFonts w:cstheme="minorHAnsi"/>
          <w:sz w:val="24"/>
          <w:szCs w:val="24"/>
        </w:rPr>
        <w:t>ý</w:t>
      </w:r>
      <w:r w:rsidR="00825453">
        <w:rPr>
          <w:rFonts w:cstheme="minorHAnsi"/>
          <w:sz w:val="24"/>
          <w:szCs w:val="24"/>
        </w:rPr>
        <w:t xml:space="preserve"> </w:t>
      </w:r>
      <w:r w:rsidR="00FE7ABA">
        <w:rPr>
          <w:rFonts w:cstheme="minorHAnsi"/>
          <w:sz w:val="24"/>
          <w:szCs w:val="24"/>
        </w:rPr>
        <w:t>objem</w:t>
      </w:r>
      <w:r w:rsidR="00825453">
        <w:rPr>
          <w:rFonts w:cstheme="minorHAnsi"/>
          <w:sz w:val="24"/>
          <w:szCs w:val="24"/>
        </w:rPr>
        <w:t xml:space="preserve"> pokut by dosáhl částky 1 446,56 mil. Kč. Z toho 40% podíl SFDI by činil 578,62</w:t>
      </w:r>
      <w:r w:rsidR="001737B2">
        <w:rPr>
          <w:rFonts w:cstheme="minorHAnsi"/>
          <w:sz w:val="24"/>
          <w:szCs w:val="24"/>
        </w:rPr>
        <w:t> </w:t>
      </w:r>
      <w:r w:rsidR="00825453">
        <w:rPr>
          <w:rFonts w:cstheme="minorHAnsi"/>
          <w:sz w:val="24"/>
          <w:szCs w:val="24"/>
        </w:rPr>
        <w:t xml:space="preserve">mil. Kč. </w:t>
      </w:r>
      <w:r w:rsidR="00BF0773">
        <w:rPr>
          <w:rFonts w:cstheme="minorHAnsi"/>
          <w:sz w:val="24"/>
          <w:szCs w:val="24"/>
        </w:rPr>
        <w:t xml:space="preserve">Ve skutečnosti ale </w:t>
      </w:r>
      <w:r w:rsidR="00825453">
        <w:rPr>
          <w:rFonts w:cstheme="minorHAnsi"/>
          <w:sz w:val="24"/>
          <w:szCs w:val="24"/>
        </w:rPr>
        <w:t xml:space="preserve">SFDI obdržel </w:t>
      </w:r>
      <w:r w:rsidR="00BF0773">
        <w:rPr>
          <w:rFonts w:cstheme="minorHAnsi"/>
          <w:sz w:val="24"/>
          <w:szCs w:val="24"/>
        </w:rPr>
        <w:t xml:space="preserve">jen </w:t>
      </w:r>
      <w:r w:rsidR="00825453">
        <w:rPr>
          <w:rFonts w:cstheme="minorHAnsi"/>
          <w:sz w:val="24"/>
          <w:szCs w:val="24"/>
        </w:rPr>
        <w:t xml:space="preserve">21,13 mil. Kč (viz </w:t>
      </w:r>
      <w:r w:rsidR="00E23B9A" w:rsidRPr="00A508F5">
        <w:rPr>
          <w:rFonts w:cstheme="minorHAnsi"/>
          <w:sz w:val="24"/>
          <w:szCs w:val="24"/>
        </w:rPr>
        <w:t>tabulky č. 5 a č. 6</w:t>
      </w:r>
      <w:r w:rsidR="00825453" w:rsidRPr="00A508F5">
        <w:rPr>
          <w:rFonts w:cstheme="minorHAnsi"/>
          <w:sz w:val="24"/>
          <w:szCs w:val="24"/>
        </w:rPr>
        <w:t>), což představuje</w:t>
      </w:r>
      <w:r w:rsidR="00825453">
        <w:rPr>
          <w:rFonts w:cstheme="minorHAnsi"/>
          <w:sz w:val="24"/>
          <w:szCs w:val="24"/>
        </w:rPr>
        <w:t xml:space="preserve"> jen necelá 4 % uvedené částky.</w:t>
      </w:r>
      <w:r w:rsidR="008F0628">
        <w:rPr>
          <w:rFonts w:cstheme="minorHAnsi"/>
          <w:sz w:val="24"/>
          <w:szCs w:val="24"/>
        </w:rPr>
        <w:t xml:space="preserve"> </w:t>
      </w:r>
      <w:r w:rsidR="00B12EA7">
        <w:rPr>
          <w:rFonts w:cstheme="minorHAnsi"/>
          <w:sz w:val="24"/>
          <w:szCs w:val="24"/>
        </w:rPr>
        <w:t>Ačkoliv se jedná o orientační propočet, z</w:t>
      </w:r>
      <w:r w:rsidR="001737B2">
        <w:rPr>
          <w:rFonts w:cstheme="minorHAnsi"/>
          <w:sz w:val="24"/>
          <w:szCs w:val="24"/>
        </w:rPr>
        <w:t> </w:t>
      </w:r>
      <w:r w:rsidR="009E11EA">
        <w:rPr>
          <w:rFonts w:cstheme="minorHAnsi"/>
          <w:sz w:val="24"/>
          <w:szCs w:val="24"/>
        </w:rPr>
        <w:t xml:space="preserve">porovnání těchto hodnot vyplývá, že se velmi pravděpodobně daří ve správním řízení postihovat jen velmi malý zlomek vážních deliktů </w:t>
      </w:r>
      <w:r w:rsidR="00193E26">
        <w:rPr>
          <w:rFonts w:cstheme="minorHAnsi"/>
          <w:sz w:val="24"/>
          <w:szCs w:val="24"/>
        </w:rPr>
        <w:t xml:space="preserve">způsobených </w:t>
      </w:r>
      <w:r w:rsidR="009E11EA">
        <w:rPr>
          <w:rFonts w:cstheme="minorHAnsi"/>
          <w:sz w:val="24"/>
          <w:szCs w:val="24"/>
        </w:rPr>
        <w:t>přetíženými vozidly a</w:t>
      </w:r>
      <w:r w:rsidR="001737B2">
        <w:rPr>
          <w:rFonts w:cstheme="minorHAnsi"/>
          <w:sz w:val="24"/>
          <w:szCs w:val="24"/>
        </w:rPr>
        <w:t> </w:t>
      </w:r>
      <w:r w:rsidR="009E11EA">
        <w:rPr>
          <w:rFonts w:cstheme="minorHAnsi"/>
          <w:sz w:val="24"/>
          <w:szCs w:val="24"/>
        </w:rPr>
        <w:t>detekovaných systém</w:t>
      </w:r>
      <w:r w:rsidR="00387396">
        <w:rPr>
          <w:rFonts w:cstheme="minorHAnsi"/>
          <w:sz w:val="24"/>
          <w:szCs w:val="24"/>
        </w:rPr>
        <w:t>em</w:t>
      </w:r>
      <w:r w:rsidR="009E11EA">
        <w:rPr>
          <w:rFonts w:cstheme="minorHAnsi"/>
          <w:sz w:val="24"/>
          <w:szCs w:val="24"/>
        </w:rPr>
        <w:t xml:space="preserve"> VKV.</w:t>
      </w:r>
    </w:p>
    <w:p w14:paraId="515C28C4" w14:textId="77777777" w:rsidR="009E11EA" w:rsidRDefault="009E11EA" w:rsidP="008F0628">
      <w:pPr>
        <w:spacing w:after="0" w:line="252" w:lineRule="auto"/>
        <w:contextualSpacing/>
        <w:jc w:val="both"/>
        <w:rPr>
          <w:rFonts w:eastAsia="Calibri" w:cstheme="minorHAnsi"/>
          <w:color w:val="4472C4" w:themeColor="accent5"/>
          <w:sz w:val="24"/>
          <w:szCs w:val="24"/>
        </w:rPr>
      </w:pPr>
    </w:p>
    <w:p w14:paraId="5794B80D" w14:textId="77777777" w:rsidR="00831C02" w:rsidRPr="002C4E3B" w:rsidRDefault="00831C02" w:rsidP="004A60EB">
      <w:pPr>
        <w:pStyle w:val="Odstavecseseznamem"/>
        <w:numPr>
          <w:ilvl w:val="0"/>
          <w:numId w:val="37"/>
        </w:numPr>
        <w:spacing w:after="0" w:line="252" w:lineRule="auto"/>
        <w:jc w:val="both"/>
        <w:rPr>
          <w:rFonts w:eastAsia="Calibri" w:cstheme="minorHAnsi"/>
          <w:b/>
          <w:i/>
          <w:color w:val="4472C4" w:themeColor="accent5"/>
          <w:sz w:val="24"/>
          <w:szCs w:val="24"/>
        </w:rPr>
      </w:pPr>
      <w:r w:rsidRPr="002C4E3B">
        <w:rPr>
          <w:rFonts w:eastAsia="Calibri" w:cstheme="minorHAnsi"/>
          <w:b/>
          <w:i/>
          <w:color w:val="4472C4" w:themeColor="accent5"/>
          <w:sz w:val="24"/>
          <w:szCs w:val="24"/>
        </w:rPr>
        <w:t xml:space="preserve">MD </w:t>
      </w:r>
      <w:r w:rsidRPr="004459F3">
        <w:rPr>
          <w:rFonts w:eastAsia="Calibri" w:cstheme="minorHAnsi"/>
          <w:b/>
          <w:i/>
          <w:color w:val="4472C4"/>
          <w:sz w:val="24"/>
          <w:szCs w:val="24"/>
        </w:rPr>
        <w:t>změn</w:t>
      </w:r>
      <w:r w:rsidR="00602631" w:rsidRPr="004459F3">
        <w:rPr>
          <w:rFonts w:eastAsia="Calibri" w:cstheme="minorHAnsi"/>
          <w:b/>
          <w:i/>
          <w:color w:val="4472C4"/>
          <w:sz w:val="24"/>
          <w:szCs w:val="24"/>
        </w:rPr>
        <w:t>ou</w:t>
      </w:r>
      <w:r w:rsidRPr="004459F3">
        <w:rPr>
          <w:rFonts w:eastAsia="Calibri" w:cstheme="minorHAnsi"/>
          <w:b/>
          <w:i/>
          <w:color w:val="4472C4"/>
          <w:sz w:val="24"/>
          <w:szCs w:val="24"/>
        </w:rPr>
        <w:t xml:space="preserve"> podmínek VKV omezilo počet zjišťovaných</w:t>
      </w:r>
      <w:r w:rsidRPr="002C4E3B">
        <w:rPr>
          <w:rFonts w:eastAsia="Calibri" w:cstheme="minorHAnsi"/>
          <w:b/>
          <w:i/>
          <w:color w:val="4472C4" w:themeColor="accent5"/>
          <w:sz w:val="24"/>
          <w:szCs w:val="24"/>
        </w:rPr>
        <w:t xml:space="preserve"> </w:t>
      </w:r>
      <w:r w:rsidR="00A33C87">
        <w:rPr>
          <w:rFonts w:eastAsia="Calibri" w:cstheme="minorHAnsi"/>
          <w:b/>
          <w:i/>
          <w:color w:val="4472C4" w:themeColor="accent5"/>
          <w:sz w:val="24"/>
          <w:szCs w:val="24"/>
        </w:rPr>
        <w:t>vážních deliktů</w:t>
      </w:r>
      <w:r w:rsidR="00280011">
        <w:rPr>
          <w:rFonts w:eastAsia="Calibri" w:cstheme="minorHAnsi"/>
          <w:b/>
          <w:i/>
          <w:color w:val="4472C4" w:themeColor="accent5"/>
          <w:sz w:val="24"/>
          <w:szCs w:val="24"/>
        </w:rPr>
        <w:t xml:space="preserve"> ...</w:t>
      </w:r>
    </w:p>
    <w:p w14:paraId="7F65A42F" w14:textId="77777777" w:rsidR="00831C02" w:rsidRDefault="00831C02" w:rsidP="002C4E3B">
      <w:pPr>
        <w:spacing w:after="0" w:line="252" w:lineRule="auto"/>
        <w:contextualSpacing/>
        <w:rPr>
          <w:rFonts w:eastAsia="Calibri" w:cstheme="minorHAnsi"/>
          <w:sz w:val="24"/>
          <w:szCs w:val="24"/>
        </w:rPr>
      </w:pPr>
    </w:p>
    <w:p w14:paraId="79589AA1" w14:textId="77777777" w:rsidR="00A031A9" w:rsidRDefault="002B37CE" w:rsidP="00A031A9">
      <w:pPr>
        <w:spacing w:after="0" w:line="252" w:lineRule="auto"/>
        <w:contextualSpacing/>
        <w:jc w:val="both"/>
        <w:rPr>
          <w:rFonts w:eastAsia="Calibri" w:cstheme="minorHAnsi"/>
          <w:sz w:val="24"/>
          <w:szCs w:val="24"/>
        </w:rPr>
      </w:pPr>
      <w:r>
        <w:rPr>
          <w:rFonts w:ascii="Calibri" w:eastAsia="Aptos" w:hAnsi="Calibri" w:cs="Calibri"/>
          <w:sz w:val="24"/>
          <w:szCs w:val="24"/>
        </w:rPr>
        <w:t>4.</w:t>
      </w:r>
      <w:r w:rsidR="004A09F6">
        <w:rPr>
          <w:rFonts w:ascii="Calibri" w:eastAsia="Aptos" w:hAnsi="Calibri" w:cs="Calibri"/>
          <w:sz w:val="24"/>
          <w:szCs w:val="24"/>
        </w:rPr>
        <w:t>2</w:t>
      </w:r>
      <w:r w:rsidR="00216774">
        <w:rPr>
          <w:rFonts w:ascii="Calibri" w:eastAsia="Aptos" w:hAnsi="Calibri" w:cs="Calibri"/>
          <w:sz w:val="24"/>
          <w:szCs w:val="24"/>
        </w:rPr>
        <w:t>6</w:t>
      </w:r>
      <w:r>
        <w:rPr>
          <w:rFonts w:ascii="Calibri" w:eastAsia="Aptos" w:hAnsi="Calibri" w:cs="Calibri"/>
          <w:sz w:val="24"/>
          <w:szCs w:val="24"/>
        </w:rPr>
        <w:t xml:space="preserve"> </w:t>
      </w:r>
      <w:r w:rsidR="00365FEB">
        <w:rPr>
          <w:rFonts w:ascii="Calibri" w:eastAsia="Aptos" w:hAnsi="Calibri" w:cs="Calibri"/>
          <w:sz w:val="24"/>
          <w:szCs w:val="24"/>
        </w:rPr>
        <w:t xml:space="preserve">NKÚ </w:t>
      </w:r>
      <w:r w:rsidR="00365FEB" w:rsidRPr="00CA5DEE">
        <w:rPr>
          <w:rFonts w:ascii="Calibri" w:eastAsia="Aptos" w:hAnsi="Calibri" w:cs="Calibri"/>
          <w:sz w:val="24"/>
          <w:szCs w:val="24"/>
        </w:rPr>
        <w:t>zjišťoval</w:t>
      </w:r>
      <w:r w:rsidR="00CA5DEE" w:rsidRPr="00CA5DEE">
        <w:rPr>
          <w:rFonts w:cstheme="minorHAnsi"/>
          <w:sz w:val="24"/>
          <w:szCs w:val="24"/>
        </w:rPr>
        <w:t xml:space="preserve">, jak MD </w:t>
      </w:r>
      <w:r w:rsidR="00473B51">
        <w:rPr>
          <w:rFonts w:cstheme="minorHAnsi"/>
          <w:sz w:val="24"/>
          <w:szCs w:val="24"/>
        </w:rPr>
        <w:t xml:space="preserve">ve spolupráci s ŘSD řešilo </w:t>
      </w:r>
      <w:r w:rsidR="00CA5DEE">
        <w:rPr>
          <w:rFonts w:cstheme="minorHAnsi"/>
          <w:sz w:val="24"/>
          <w:szCs w:val="24"/>
        </w:rPr>
        <w:t xml:space="preserve">problémy s funkčností systému VKV, jaká přijalo opatření a </w:t>
      </w:r>
      <w:r w:rsidR="00155B9C">
        <w:rPr>
          <w:rFonts w:cstheme="minorHAnsi"/>
          <w:sz w:val="24"/>
          <w:szCs w:val="24"/>
        </w:rPr>
        <w:t>zda</w:t>
      </w:r>
      <w:r w:rsidR="00CA5DEE">
        <w:rPr>
          <w:rFonts w:cstheme="minorHAnsi"/>
          <w:sz w:val="24"/>
          <w:szCs w:val="24"/>
        </w:rPr>
        <w:t xml:space="preserve"> byla tato opatření účinná</w:t>
      </w:r>
      <w:r w:rsidR="00DA4AD5">
        <w:rPr>
          <w:rFonts w:cstheme="minorHAnsi"/>
          <w:sz w:val="24"/>
          <w:szCs w:val="24"/>
        </w:rPr>
        <w:t xml:space="preserve">. </w:t>
      </w:r>
      <w:r w:rsidR="00473B51">
        <w:rPr>
          <w:rFonts w:cstheme="minorHAnsi"/>
          <w:sz w:val="24"/>
          <w:szCs w:val="24"/>
        </w:rPr>
        <w:t>NKÚ zároveň v</w:t>
      </w:r>
      <w:r w:rsidR="00A031A9">
        <w:rPr>
          <w:rFonts w:cstheme="minorHAnsi"/>
          <w:sz w:val="24"/>
          <w:szCs w:val="24"/>
        </w:rPr>
        <w:t xml:space="preserve">yhodnocoval, nakolik přijatá opatření přispěla k optimalizaci provozu tohoto systému tak, aby </w:t>
      </w:r>
      <w:r w:rsidR="00A031A9">
        <w:rPr>
          <w:rFonts w:eastAsia="Calibri" w:cstheme="minorHAnsi"/>
          <w:sz w:val="24"/>
          <w:szCs w:val="24"/>
        </w:rPr>
        <w:t xml:space="preserve">plnil </w:t>
      </w:r>
      <w:r w:rsidR="009B2675">
        <w:rPr>
          <w:rFonts w:eastAsia="Calibri" w:cstheme="minorHAnsi"/>
          <w:sz w:val="24"/>
          <w:szCs w:val="24"/>
        </w:rPr>
        <w:t>urče</w:t>
      </w:r>
      <w:r w:rsidR="00A031A9">
        <w:rPr>
          <w:rFonts w:eastAsia="Calibri" w:cstheme="minorHAnsi"/>
          <w:sz w:val="24"/>
          <w:szCs w:val="24"/>
        </w:rPr>
        <w:t xml:space="preserve">né úkoly v </w:t>
      </w:r>
      <w:r w:rsidR="00A031A9" w:rsidRPr="00A2299C">
        <w:rPr>
          <w:rFonts w:cstheme="minorHAnsi"/>
          <w:sz w:val="24"/>
          <w:szCs w:val="24"/>
        </w:rPr>
        <w:t>nejvýše možn</w:t>
      </w:r>
      <w:r w:rsidR="00A031A9">
        <w:rPr>
          <w:rFonts w:cstheme="minorHAnsi"/>
          <w:sz w:val="24"/>
          <w:szCs w:val="24"/>
        </w:rPr>
        <w:t>ém</w:t>
      </w:r>
      <w:r w:rsidR="00A031A9" w:rsidRPr="00A2299C">
        <w:rPr>
          <w:rFonts w:cstheme="minorHAnsi"/>
          <w:sz w:val="24"/>
          <w:szCs w:val="24"/>
        </w:rPr>
        <w:t xml:space="preserve"> rozsahu</w:t>
      </w:r>
      <w:r w:rsidR="00A031A9">
        <w:rPr>
          <w:rFonts w:cstheme="minorHAnsi"/>
          <w:sz w:val="24"/>
          <w:szCs w:val="24"/>
        </w:rPr>
        <w:t xml:space="preserve"> a</w:t>
      </w:r>
      <w:r w:rsidR="00A031A9" w:rsidRPr="00A2299C">
        <w:rPr>
          <w:rFonts w:cstheme="minorHAnsi"/>
          <w:sz w:val="24"/>
          <w:szCs w:val="24"/>
        </w:rPr>
        <w:t xml:space="preserve"> kvalit</w:t>
      </w:r>
      <w:r w:rsidR="00A031A9">
        <w:rPr>
          <w:rFonts w:cstheme="minorHAnsi"/>
          <w:sz w:val="24"/>
          <w:szCs w:val="24"/>
        </w:rPr>
        <w:t>ě</w:t>
      </w:r>
      <w:r w:rsidR="00A031A9" w:rsidRPr="00A2299C">
        <w:rPr>
          <w:rFonts w:cstheme="minorHAnsi"/>
          <w:sz w:val="24"/>
          <w:szCs w:val="24"/>
        </w:rPr>
        <w:t xml:space="preserve"> a </w:t>
      </w:r>
      <w:r w:rsidR="00A031A9">
        <w:rPr>
          <w:rFonts w:cstheme="minorHAnsi"/>
          <w:sz w:val="24"/>
          <w:szCs w:val="24"/>
        </w:rPr>
        <w:t xml:space="preserve">s </w:t>
      </w:r>
      <w:r w:rsidR="00A031A9" w:rsidRPr="00A2299C">
        <w:rPr>
          <w:rFonts w:cstheme="minorHAnsi"/>
          <w:sz w:val="24"/>
          <w:szCs w:val="24"/>
        </w:rPr>
        <w:t>nejv</w:t>
      </w:r>
      <w:r w:rsidR="00A031A9">
        <w:rPr>
          <w:rFonts w:cstheme="minorHAnsi"/>
          <w:sz w:val="24"/>
          <w:szCs w:val="24"/>
        </w:rPr>
        <w:t>yšším</w:t>
      </w:r>
      <w:r w:rsidR="00A031A9" w:rsidRPr="00A2299C">
        <w:rPr>
          <w:rFonts w:cstheme="minorHAnsi"/>
          <w:sz w:val="24"/>
          <w:szCs w:val="24"/>
        </w:rPr>
        <w:t xml:space="preserve"> možn</w:t>
      </w:r>
      <w:r w:rsidR="00A031A9">
        <w:rPr>
          <w:rFonts w:cstheme="minorHAnsi"/>
          <w:sz w:val="24"/>
          <w:szCs w:val="24"/>
        </w:rPr>
        <w:t>ým</w:t>
      </w:r>
      <w:r w:rsidR="00A031A9" w:rsidRPr="00A2299C">
        <w:rPr>
          <w:rFonts w:cstheme="minorHAnsi"/>
          <w:sz w:val="24"/>
          <w:szCs w:val="24"/>
        </w:rPr>
        <w:t xml:space="preserve"> přínos</w:t>
      </w:r>
      <w:r w:rsidR="00A031A9">
        <w:rPr>
          <w:rFonts w:cstheme="minorHAnsi"/>
          <w:sz w:val="24"/>
          <w:szCs w:val="24"/>
        </w:rPr>
        <w:t>em</w:t>
      </w:r>
      <w:r w:rsidR="00A031A9">
        <w:rPr>
          <w:rFonts w:eastAsia="Calibri" w:cstheme="minorHAnsi"/>
          <w:sz w:val="24"/>
          <w:szCs w:val="24"/>
        </w:rPr>
        <w:t>.</w:t>
      </w:r>
    </w:p>
    <w:p w14:paraId="5731008F" w14:textId="77777777" w:rsidR="00A83EFC" w:rsidRDefault="00A83EFC" w:rsidP="0097197F">
      <w:pPr>
        <w:spacing w:after="0" w:line="252" w:lineRule="auto"/>
        <w:contextualSpacing/>
        <w:jc w:val="both"/>
        <w:rPr>
          <w:rFonts w:ascii="Calibri" w:eastAsia="Aptos" w:hAnsi="Calibri" w:cs="Calibri"/>
          <w:sz w:val="24"/>
          <w:szCs w:val="24"/>
        </w:rPr>
      </w:pPr>
    </w:p>
    <w:p w14:paraId="0DEF4159" w14:textId="1A871792" w:rsidR="00B67EFE" w:rsidRDefault="002B37CE" w:rsidP="0097197F">
      <w:pPr>
        <w:spacing w:after="0" w:line="252" w:lineRule="auto"/>
        <w:contextualSpacing/>
        <w:jc w:val="both"/>
        <w:rPr>
          <w:rFonts w:cstheme="minorHAnsi"/>
          <w:sz w:val="24"/>
          <w:szCs w:val="24"/>
        </w:rPr>
      </w:pPr>
      <w:r>
        <w:rPr>
          <w:rFonts w:ascii="Calibri" w:eastAsia="Aptos" w:hAnsi="Calibri" w:cs="Calibri"/>
          <w:sz w:val="24"/>
          <w:szCs w:val="24"/>
        </w:rPr>
        <w:t>4.2</w:t>
      </w:r>
      <w:r w:rsidR="00216774">
        <w:rPr>
          <w:rFonts w:ascii="Calibri" w:eastAsia="Aptos" w:hAnsi="Calibri" w:cs="Calibri"/>
          <w:sz w:val="24"/>
          <w:szCs w:val="24"/>
        </w:rPr>
        <w:t>7</w:t>
      </w:r>
      <w:r>
        <w:rPr>
          <w:rFonts w:ascii="Calibri" w:eastAsia="Aptos" w:hAnsi="Calibri" w:cs="Calibri"/>
          <w:sz w:val="24"/>
          <w:szCs w:val="24"/>
        </w:rPr>
        <w:t xml:space="preserve"> </w:t>
      </w:r>
      <w:r w:rsidR="00D06EDF" w:rsidRPr="00BD4A28">
        <w:rPr>
          <w:rFonts w:ascii="Calibri" w:eastAsia="Aptos" w:hAnsi="Calibri" w:cs="Calibri"/>
          <w:sz w:val="24"/>
          <w:szCs w:val="24"/>
        </w:rPr>
        <w:t xml:space="preserve">MD </w:t>
      </w:r>
      <w:r w:rsidR="002B06D8">
        <w:rPr>
          <w:rFonts w:ascii="Calibri" w:eastAsia="Aptos" w:hAnsi="Calibri" w:cs="Calibri"/>
          <w:sz w:val="24"/>
          <w:szCs w:val="24"/>
        </w:rPr>
        <w:t>s</w:t>
      </w:r>
      <w:r w:rsidR="00D351D7" w:rsidRPr="00BD4A28">
        <w:rPr>
          <w:rFonts w:ascii="Calibri" w:eastAsia="Aptos" w:hAnsi="Calibri" w:cs="Calibri"/>
          <w:sz w:val="24"/>
          <w:szCs w:val="24"/>
        </w:rPr>
        <w:t xml:space="preserve"> účinností od 1. 4. 2022 </w:t>
      </w:r>
      <w:r w:rsidR="00E57FBD">
        <w:rPr>
          <w:rFonts w:ascii="Calibri" w:eastAsia="Aptos" w:hAnsi="Calibri" w:cs="Calibri"/>
          <w:sz w:val="24"/>
          <w:szCs w:val="24"/>
        </w:rPr>
        <w:t>dopln</w:t>
      </w:r>
      <w:r w:rsidR="00E57FBD" w:rsidRPr="00BD4A28">
        <w:rPr>
          <w:rFonts w:ascii="Calibri" w:eastAsia="Aptos" w:hAnsi="Calibri" w:cs="Calibri"/>
          <w:sz w:val="24"/>
          <w:szCs w:val="24"/>
        </w:rPr>
        <w:t xml:space="preserve">ilo </w:t>
      </w:r>
      <w:r w:rsidR="00D351D7" w:rsidRPr="00BD4A28">
        <w:rPr>
          <w:rFonts w:ascii="Calibri" w:eastAsia="Aptos" w:hAnsi="Calibri" w:cs="Calibri"/>
          <w:sz w:val="24"/>
          <w:szCs w:val="24"/>
        </w:rPr>
        <w:t>do vyhlášky č. 104/1997 Sb.</w:t>
      </w:r>
      <w:r w:rsidR="004E0CBB">
        <w:rPr>
          <w:rFonts w:ascii="Calibri" w:eastAsia="Aptos" w:hAnsi="Calibri" w:cs="Calibri"/>
          <w:sz w:val="24"/>
          <w:szCs w:val="24"/>
        </w:rPr>
        <w:t xml:space="preserve"> </w:t>
      </w:r>
      <w:r w:rsidR="00FE7ABA">
        <w:rPr>
          <w:rFonts w:ascii="Calibri" w:eastAsia="Aptos" w:hAnsi="Calibri" w:cs="Calibri"/>
          <w:sz w:val="24"/>
          <w:szCs w:val="24"/>
        </w:rPr>
        <w:t>ustanovení</w:t>
      </w:r>
      <w:r w:rsidR="00BF0773">
        <w:rPr>
          <w:rFonts w:ascii="Calibri" w:eastAsia="Aptos" w:hAnsi="Calibri" w:cs="Calibri"/>
          <w:sz w:val="24"/>
          <w:szCs w:val="24"/>
        </w:rPr>
        <w:t xml:space="preserve">, </w:t>
      </w:r>
      <w:r w:rsidR="004E0CBB">
        <w:rPr>
          <w:rFonts w:ascii="Calibri" w:eastAsia="Aptos" w:hAnsi="Calibri" w:cs="Calibri"/>
          <w:sz w:val="24"/>
          <w:szCs w:val="24"/>
        </w:rPr>
        <w:t xml:space="preserve">že </w:t>
      </w:r>
      <w:r w:rsidR="004E0CBB" w:rsidRPr="004E0CBB">
        <w:rPr>
          <w:rFonts w:ascii="Calibri" w:eastAsia="Aptos" w:hAnsi="Calibri" w:cs="Calibri"/>
          <w:sz w:val="24"/>
          <w:szCs w:val="24"/>
        </w:rPr>
        <w:t>VKV</w:t>
      </w:r>
      <w:r w:rsidR="00D351D7" w:rsidRPr="004E0CBB">
        <w:rPr>
          <w:rFonts w:ascii="Calibri" w:eastAsia="Aptos" w:hAnsi="Calibri" w:cs="Calibri"/>
          <w:sz w:val="24"/>
          <w:szCs w:val="24"/>
        </w:rPr>
        <w:t xml:space="preserve"> nemusí být prováděno v nepřetržitém režimu</w:t>
      </w:r>
      <w:r w:rsidR="00D351D7" w:rsidRPr="00BD4A28">
        <w:rPr>
          <w:rFonts w:ascii="Calibri" w:eastAsia="Aptos" w:hAnsi="Calibri" w:cs="Calibri"/>
          <w:sz w:val="24"/>
          <w:szCs w:val="24"/>
        </w:rPr>
        <w:t xml:space="preserve">. </w:t>
      </w:r>
      <w:r w:rsidR="00FE7ABA">
        <w:rPr>
          <w:rFonts w:cstheme="minorHAnsi"/>
          <w:sz w:val="24"/>
          <w:szCs w:val="24"/>
        </w:rPr>
        <w:t>Cílem této</w:t>
      </w:r>
      <w:r w:rsidR="00D351D7" w:rsidRPr="00BD4A28">
        <w:rPr>
          <w:rFonts w:cstheme="minorHAnsi"/>
          <w:sz w:val="24"/>
          <w:szCs w:val="24"/>
        </w:rPr>
        <w:t xml:space="preserve"> úprav</w:t>
      </w:r>
      <w:r w:rsidR="00FE7ABA">
        <w:rPr>
          <w:rFonts w:cstheme="minorHAnsi"/>
          <w:sz w:val="24"/>
          <w:szCs w:val="24"/>
        </w:rPr>
        <w:t>y</w:t>
      </w:r>
      <w:r w:rsidR="0013117B">
        <w:rPr>
          <w:rFonts w:cstheme="minorHAnsi"/>
          <w:sz w:val="24"/>
          <w:szCs w:val="24"/>
        </w:rPr>
        <w:t xml:space="preserve"> </w:t>
      </w:r>
      <w:r w:rsidR="00FE7ABA">
        <w:rPr>
          <w:rFonts w:cstheme="minorHAnsi"/>
          <w:sz w:val="24"/>
          <w:szCs w:val="24"/>
        </w:rPr>
        <w:t>bylo</w:t>
      </w:r>
      <w:r w:rsidR="0013117B">
        <w:rPr>
          <w:rFonts w:cstheme="minorHAnsi"/>
          <w:sz w:val="24"/>
          <w:szCs w:val="24"/>
        </w:rPr>
        <w:t xml:space="preserve"> </w:t>
      </w:r>
      <w:r w:rsidR="00EE0F37">
        <w:rPr>
          <w:rFonts w:cstheme="minorHAnsi"/>
          <w:sz w:val="24"/>
          <w:szCs w:val="24"/>
        </w:rPr>
        <w:t>odstran</w:t>
      </w:r>
      <w:r w:rsidR="00FE7ABA">
        <w:rPr>
          <w:rFonts w:cstheme="minorHAnsi"/>
          <w:sz w:val="24"/>
          <w:szCs w:val="24"/>
        </w:rPr>
        <w:t>ění</w:t>
      </w:r>
      <w:r w:rsidR="00EE0F37">
        <w:rPr>
          <w:rFonts w:cstheme="minorHAnsi"/>
          <w:sz w:val="24"/>
          <w:szCs w:val="24"/>
        </w:rPr>
        <w:t xml:space="preserve"> </w:t>
      </w:r>
      <w:r w:rsidR="0013117B">
        <w:rPr>
          <w:rFonts w:cstheme="minorHAnsi"/>
          <w:sz w:val="24"/>
          <w:szCs w:val="24"/>
        </w:rPr>
        <w:t>rozdíl</w:t>
      </w:r>
      <w:r w:rsidR="00FE7ABA">
        <w:rPr>
          <w:rFonts w:cstheme="minorHAnsi"/>
          <w:sz w:val="24"/>
          <w:szCs w:val="24"/>
        </w:rPr>
        <w:t xml:space="preserve">u </w:t>
      </w:r>
      <w:r w:rsidR="0013117B">
        <w:rPr>
          <w:rFonts w:cstheme="minorHAnsi"/>
          <w:sz w:val="24"/>
          <w:szCs w:val="24"/>
        </w:rPr>
        <w:t xml:space="preserve">mezi </w:t>
      </w:r>
      <w:r w:rsidR="00EE0F37">
        <w:rPr>
          <w:rFonts w:cstheme="minorHAnsi"/>
          <w:sz w:val="24"/>
          <w:szCs w:val="24"/>
        </w:rPr>
        <w:t xml:space="preserve">vysokým </w:t>
      </w:r>
      <w:r w:rsidR="0013117B">
        <w:rPr>
          <w:rFonts w:cstheme="minorHAnsi"/>
          <w:sz w:val="24"/>
          <w:szCs w:val="24"/>
        </w:rPr>
        <w:t>počtem zjišťovaných vážních deliktů a</w:t>
      </w:r>
      <w:r w:rsidR="00EE0F37">
        <w:rPr>
          <w:rFonts w:cstheme="minorHAnsi"/>
          <w:sz w:val="24"/>
          <w:szCs w:val="24"/>
        </w:rPr>
        <w:t xml:space="preserve"> omezenou</w:t>
      </w:r>
      <w:r w:rsidR="0013117B">
        <w:rPr>
          <w:rFonts w:cstheme="minorHAnsi"/>
          <w:sz w:val="24"/>
          <w:szCs w:val="24"/>
        </w:rPr>
        <w:t xml:space="preserve"> kapacitou ORP </w:t>
      </w:r>
      <w:r w:rsidR="00B67EFE">
        <w:rPr>
          <w:rFonts w:cstheme="minorHAnsi"/>
          <w:sz w:val="24"/>
          <w:szCs w:val="24"/>
        </w:rPr>
        <w:t>pro jejich řešení</w:t>
      </w:r>
      <w:r w:rsidR="00FE7ABA">
        <w:rPr>
          <w:rFonts w:cstheme="minorHAnsi"/>
          <w:sz w:val="24"/>
          <w:szCs w:val="24"/>
        </w:rPr>
        <w:t xml:space="preserve"> a</w:t>
      </w:r>
      <w:r w:rsidR="001737B2">
        <w:rPr>
          <w:rFonts w:cstheme="minorHAnsi"/>
          <w:sz w:val="24"/>
          <w:szCs w:val="24"/>
        </w:rPr>
        <w:t> </w:t>
      </w:r>
      <w:r w:rsidR="00FE7ABA">
        <w:rPr>
          <w:rFonts w:cstheme="minorHAnsi"/>
          <w:sz w:val="24"/>
          <w:szCs w:val="24"/>
        </w:rPr>
        <w:t>postih</w:t>
      </w:r>
      <w:r w:rsidR="00717DDB">
        <w:rPr>
          <w:rFonts w:cstheme="minorHAnsi"/>
          <w:sz w:val="24"/>
          <w:szCs w:val="24"/>
        </w:rPr>
        <w:t xml:space="preserve"> </w:t>
      </w:r>
      <w:r w:rsidR="00717DDB" w:rsidRPr="000F4B0E">
        <w:rPr>
          <w:rFonts w:cstheme="minorHAnsi"/>
          <w:sz w:val="24"/>
          <w:szCs w:val="24"/>
        </w:rPr>
        <w:t>(viz odst</w:t>
      </w:r>
      <w:r w:rsidR="00AB0823" w:rsidRPr="000F4B0E">
        <w:rPr>
          <w:rFonts w:cstheme="minorHAnsi"/>
          <w:sz w:val="24"/>
          <w:szCs w:val="24"/>
        </w:rPr>
        <w:t>.</w:t>
      </w:r>
      <w:r w:rsidR="00717DDB" w:rsidRPr="000F4B0E">
        <w:rPr>
          <w:rFonts w:cstheme="minorHAnsi"/>
          <w:sz w:val="24"/>
          <w:szCs w:val="24"/>
        </w:rPr>
        <w:t xml:space="preserve"> 4.13</w:t>
      </w:r>
      <w:r w:rsidR="00FA3F22">
        <w:rPr>
          <w:rFonts w:cstheme="minorHAnsi"/>
          <w:sz w:val="24"/>
          <w:szCs w:val="24"/>
        </w:rPr>
        <w:t>–</w:t>
      </w:r>
      <w:r w:rsidR="00717DDB" w:rsidRPr="000F4B0E">
        <w:rPr>
          <w:rFonts w:cstheme="minorHAnsi"/>
          <w:sz w:val="24"/>
          <w:szCs w:val="24"/>
        </w:rPr>
        <w:t>4.1</w:t>
      </w:r>
      <w:r w:rsidR="000F4B0E" w:rsidRPr="000F4B0E">
        <w:rPr>
          <w:rFonts w:cstheme="minorHAnsi"/>
          <w:sz w:val="24"/>
          <w:szCs w:val="24"/>
        </w:rPr>
        <w:t>9</w:t>
      </w:r>
      <w:r w:rsidR="00717DDB" w:rsidRPr="000F4B0E">
        <w:rPr>
          <w:rFonts w:cstheme="minorHAnsi"/>
          <w:sz w:val="24"/>
          <w:szCs w:val="24"/>
        </w:rPr>
        <w:t>).</w:t>
      </w:r>
      <w:r w:rsidR="00717DDB">
        <w:rPr>
          <w:rFonts w:cstheme="minorHAnsi"/>
          <w:sz w:val="24"/>
          <w:szCs w:val="24"/>
        </w:rPr>
        <w:t xml:space="preserve"> MD zvolilo řešení, kdy </w:t>
      </w:r>
      <w:r w:rsidR="00B67EFE">
        <w:rPr>
          <w:rFonts w:cstheme="minorHAnsi"/>
          <w:sz w:val="24"/>
          <w:szCs w:val="24"/>
        </w:rPr>
        <w:t>ve spolupráci s</w:t>
      </w:r>
      <w:r w:rsidR="00EE0F37">
        <w:rPr>
          <w:rFonts w:cstheme="minorHAnsi"/>
          <w:sz w:val="24"/>
          <w:szCs w:val="24"/>
        </w:rPr>
        <w:t> </w:t>
      </w:r>
      <w:r w:rsidR="00B67EFE">
        <w:rPr>
          <w:rFonts w:cstheme="minorHAnsi"/>
          <w:sz w:val="24"/>
          <w:szCs w:val="24"/>
        </w:rPr>
        <w:t>ŘSD</w:t>
      </w:r>
      <w:r w:rsidR="00EE0F37">
        <w:rPr>
          <w:rFonts w:cstheme="minorHAnsi"/>
          <w:sz w:val="24"/>
          <w:szCs w:val="24"/>
        </w:rPr>
        <w:t xml:space="preserve"> </w:t>
      </w:r>
      <w:r w:rsidR="00B67EFE">
        <w:rPr>
          <w:rFonts w:cstheme="minorHAnsi"/>
          <w:sz w:val="24"/>
          <w:szCs w:val="24"/>
        </w:rPr>
        <w:t>stanovil</w:t>
      </w:r>
      <w:r w:rsidR="00E57FBD">
        <w:rPr>
          <w:rFonts w:cstheme="minorHAnsi"/>
          <w:sz w:val="24"/>
          <w:szCs w:val="24"/>
        </w:rPr>
        <w:t>o</w:t>
      </w:r>
      <w:r w:rsidR="00B67EFE">
        <w:rPr>
          <w:rFonts w:cstheme="minorHAnsi"/>
          <w:sz w:val="24"/>
          <w:szCs w:val="24"/>
        </w:rPr>
        <w:t xml:space="preserve"> měsíční limit</w:t>
      </w:r>
      <w:r w:rsidR="00CC4ED8">
        <w:rPr>
          <w:rFonts w:cstheme="minorHAnsi"/>
          <w:sz w:val="24"/>
          <w:szCs w:val="24"/>
        </w:rPr>
        <w:t xml:space="preserve"> 250 zjištěných vážních deliktů</w:t>
      </w:r>
      <w:r w:rsidR="00B67EFE">
        <w:rPr>
          <w:rFonts w:cstheme="minorHAnsi"/>
          <w:sz w:val="24"/>
          <w:szCs w:val="24"/>
        </w:rPr>
        <w:t xml:space="preserve">, po jehož </w:t>
      </w:r>
      <w:r w:rsidR="00CC4ED8">
        <w:rPr>
          <w:rFonts w:cstheme="minorHAnsi"/>
          <w:sz w:val="24"/>
          <w:szCs w:val="24"/>
        </w:rPr>
        <w:t>dosaž</w:t>
      </w:r>
      <w:r w:rsidR="00B67EFE">
        <w:rPr>
          <w:rFonts w:cstheme="minorHAnsi"/>
          <w:sz w:val="24"/>
          <w:szCs w:val="24"/>
        </w:rPr>
        <w:t xml:space="preserve">ení byly váhy </w:t>
      </w:r>
      <w:r w:rsidR="00E57FBD">
        <w:rPr>
          <w:rFonts w:cstheme="minorHAnsi"/>
          <w:sz w:val="24"/>
          <w:szCs w:val="24"/>
        </w:rPr>
        <w:t xml:space="preserve">pro </w:t>
      </w:r>
      <w:r w:rsidR="00EE0F37">
        <w:rPr>
          <w:rFonts w:cstheme="minorHAnsi"/>
          <w:sz w:val="24"/>
          <w:szCs w:val="24"/>
        </w:rPr>
        <w:t xml:space="preserve">VKV </w:t>
      </w:r>
      <w:r w:rsidR="00B67EFE">
        <w:rPr>
          <w:rFonts w:cstheme="minorHAnsi"/>
          <w:sz w:val="24"/>
          <w:szCs w:val="24"/>
        </w:rPr>
        <w:t>přepínány do tzv. „indikativního režimu</w:t>
      </w:r>
      <w:r w:rsidR="00E57FBD">
        <w:rPr>
          <w:rFonts w:cstheme="minorHAnsi"/>
          <w:sz w:val="24"/>
          <w:szCs w:val="24"/>
        </w:rPr>
        <w:t xml:space="preserve">“. Po přepnutí do tohoto režimu váhy </w:t>
      </w:r>
      <w:r w:rsidR="00717DDB">
        <w:rPr>
          <w:rFonts w:cstheme="minorHAnsi"/>
          <w:sz w:val="24"/>
          <w:szCs w:val="24"/>
        </w:rPr>
        <w:t xml:space="preserve">nicméně </w:t>
      </w:r>
      <w:r w:rsidR="00E57FBD">
        <w:rPr>
          <w:rFonts w:cstheme="minorHAnsi"/>
          <w:sz w:val="24"/>
          <w:szCs w:val="24"/>
        </w:rPr>
        <w:t>nadále</w:t>
      </w:r>
      <w:r w:rsidR="00B67EFE">
        <w:rPr>
          <w:rFonts w:cstheme="minorHAnsi"/>
          <w:sz w:val="24"/>
          <w:szCs w:val="24"/>
        </w:rPr>
        <w:t xml:space="preserve"> zjišťovaly </w:t>
      </w:r>
      <w:r w:rsidR="003F1DE9">
        <w:rPr>
          <w:rFonts w:cstheme="minorHAnsi"/>
          <w:sz w:val="24"/>
          <w:szCs w:val="24"/>
        </w:rPr>
        <w:br/>
      </w:r>
      <w:r w:rsidR="00B67EFE">
        <w:rPr>
          <w:rFonts w:cstheme="minorHAnsi"/>
          <w:sz w:val="24"/>
          <w:szCs w:val="24"/>
        </w:rPr>
        <w:t>a dokumentovaly překročení hmotnostních limitů</w:t>
      </w:r>
      <w:r w:rsidR="00EE0F37">
        <w:rPr>
          <w:rFonts w:cstheme="minorHAnsi"/>
          <w:color w:val="000000"/>
          <w:sz w:val="24"/>
          <w:szCs w:val="24"/>
        </w:rPr>
        <w:t>. V</w:t>
      </w:r>
      <w:r w:rsidR="00EE0F37" w:rsidRPr="00BD4A28">
        <w:rPr>
          <w:rFonts w:cstheme="minorHAnsi"/>
          <w:color w:val="000000"/>
          <w:sz w:val="24"/>
          <w:szCs w:val="24"/>
        </w:rPr>
        <w:t xml:space="preserve">ýsledkem </w:t>
      </w:r>
      <w:r w:rsidR="0069131C">
        <w:rPr>
          <w:rFonts w:cstheme="minorHAnsi"/>
          <w:color w:val="000000"/>
          <w:sz w:val="24"/>
          <w:szCs w:val="24"/>
        </w:rPr>
        <w:t>VKV</w:t>
      </w:r>
      <w:r w:rsidR="00EE0F37">
        <w:rPr>
          <w:rFonts w:cstheme="minorHAnsi"/>
          <w:color w:val="000000"/>
          <w:sz w:val="24"/>
          <w:szCs w:val="24"/>
        </w:rPr>
        <w:t xml:space="preserve"> </w:t>
      </w:r>
      <w:r w:rsidR="00BF0773">
        <w:rPr>
          <w:rFonts w:cstheme="minorHAnsi"/>
          <w:color w:val="000000"/>
          <w:sz w:val="24"/>
          <w:szCs w:val="24"/>
        </w:rPr>
        <w:t>prováděného v</w:t>
      </w:r>
      <w:r w:rsidR="001737B2">
        <w:rPr>
          <w:rFonts w:cstheme="minorHAnsi"/>
          <w:color w:val="000000"/>
          <w:sz w:val="24"/>
          <w:szCs w:val="24"/>
        </w:rPr>
        <w:t> </w:t>
      </w:r>
      <w:r w:rsidR="002C4336">
        <w:rPr>
          <w:rFonts w:cstheme="minorHAnsi"/>
          <w:sz w:val="24"/>
          <w:szCs w:val="24"/>
        </w:rPr>
        <w:t>„indikativní</w:t>
      </w:r>
      <w:r w:rsidR="00BF0773">
        <w:rPr>
          <w:rFonts w:cstheme="minorHAnsi"/>
          <w:sz w:val="24"/>
          <w:szCs w:val="24"/>
        </w:rPr>
        <w:t>m</w:t>
      </w:r>
      <w:r w:rsidR="002C4336">
        <w:rPr>
          <w:rFonts w:cstheme="minorHAnsi"/>
          <w:sz w:val="24"/>
          <w:szCs w:val="24"/>
        </w:rPr>
        <w:t xml:space="preserve"> režimu“ </w:t>
      </w:r>
      <w:r w:rsidR="00EE0F37">
        <w:rPr>
          <w:rFonts w:cstheme="minorHAnsi"/>
          <w:color w:val="000000"/>
          <w:sz w:val="24"/>
          <w:szCs w:val="24"/>
        </w:rPr>
        <w:t xml:space="preserve">ale </w:t>
      </w:r>
      <w:r w:rsidR="00B67EFE">
        <w:rPr>
          <w:rFonts w:cstheme="minorHAnsi"/>
          <w:sz w:val="24"/>
          <w:szCs w:val="24"/>
        </w:rPr>
        <w:t>nebyly vážní lístky</w:t>
      </w:r>
      <w:r w:rsidR="00DB596D">
        <w:rPr>
          <w:rFonts w:cstheme="minorHAnsi"/>
          <w:sz w:val="24"/>
          <w:szCs w:val="24"/>
        </w:rPr>
        <w:t xml:space="preserve">, které by ŘSD </w:t>
      </w:r>
      <w:r w:rsidR="0012659F">
        <w:rPr>
          <w:rFonts w:cstheme="minorHAnsi"/>
          <w:sz w:val="24"/>
          <w:szCs w:val="24"/>
        </w:rPr>
        <w:t>doručovalo</w:t>
      </w:r>
      <w:r w:rsidR="00B67EFE">
        <w:rPr>
          <w:rFonts w:cstheme="minorHAnsi"/>
          <w:sz w:val="24"/>
          <w:szCs w:val="24"/>
        </w:rPr>
        <w:t xml:space="preserve"> příslušným ORP</w:t>
      </w:r>
      <w:r w:rsidR="00DB202E">
        <w:rPr>
          <w:rFonts w:cstheme="minorHAnsi"/>
          <w:sz w:val="24"/>
          <w:szCs w:val="24"/>
        </w:rPr>
        <w:t>.</w:t>
      </w:r>
      <w:r w:rsidR="00602631">
        <w:rPr>
          <w:rFonts w:cstheme="minorHAnsi"/>
          <w:sz w:val="24"/>
          <w:szCs w:val="24"/>
        </w:rPr>
        <w:t xml:space="preserve"> </w:t>
      </w:r>
    </w:p>
    <w:p w14:paraId="2EAAAD2E" w14:textId="77777777" w:rsidR="002D7720" w:rsidRDefault="002D7720" w:rsidP="0097197F">
      <w:pPr>
        <w:spacing w:after="0" w:line="252" w:lineRule="auto"/>
        <w:contextualSpacing/>
        <w:jc w:val="both"/>
        <w:rPr>
          <w:rFonts w:cstheme="minorHAnsi"/>
          <w:sz w:val="24"/>
          <w:szCs w:val="24"/>
        </w:rPr>
      </w:pPr>
    </w:p>
    <w:p w14:paraId="64C279E0" w14:textId="69508802" w:rsidR="002D7720" w:rsidRDefault="002B37CE" w:rsidP="0097197F">
      <w:pPr>
        <w:spacing w:after="0" w:line="252" w:lineRule="auto"/>
        <w:contextualSpacing/>
        <w:jc w:val="both"/>
        <w:rPr>
          <w:rFonts w:cstheme="minorHAnsi"/>
          <w:sz w:val="24"/>
          <w:szCs w:val="24"/>
        </w:rPr>
      </w:pPr>
      <w:r>
        <w:rPr>
          <w:rFonts w:cstheme="minorHAnsi"/>
          <w:sz w:val="24"/>
          <w:szCs w:val="24"/>
        </w:rPr>
        <w:lastRenderedPageBreak/>
        <w:t>4.2</w:t>
      </w:r>
      <w:r w:rsidR="00216774">
        <w:rPr>
          <w:rFonts w:cstheme="minorHAnsi"/>
          <w:sz w:val="24"/>
          <w:szCs w:val="24"/>
        </w:rPr>
        <w:t>8</w:t>
      </w:r>
      <w:r>
        <w:rPr>
          <w:rFonts w:cstheme="minorHAnsi"/>
          <w:sz w:val="24"/>
          <w:szCs w:val="24"/>
        </w:rPr>
        <w:t xml:space="preserve"> </w:t>
      </w:r>
      <w:r w:rsidR="003631EC">
        <w:rPr>
          <w:rFonts w:cstheme="minorHAnsi"/>
          <w:sz w:val="24"/>
          <w:szCs w:val="24"/>
        </w:rPr>
        <w:t xml:space="preserve">Přepínání vah pro VKV do tzv. „indikativního režimu“ začalo ŘSD používat v lednu 2024 </w:t>
      </w:r>
      <w:r w:rsidR="0028088D">
        <w:rPr>
          <w:rFonts w:cstheme="minorHAnsi"/>
          <w:sz w:val="24"/>
          <w:szCs w:val="24"/>
        </w:rPr>
        <w:br/>
      </w:r>
      <w:r w:rsidR="003631EC">
        <w:rPr>
          <w:rFonts w:cstheme="minorHAnsi"/>
          <w:sz w:val="24"/>
          <w:szCs w:val="24"/>
        </w:rPr>
        <w:t xml:space="preserve">u váhy na dálnici D1 (ORP Jihlava), v únoru 2024 u váhy na dálnici D48 (ORP Frýdek-Místek) </w:t>
      </w:r>
      <w:r w:rsidR="0028088D">
        <w:rPr>
          <w:rFonts w:cstheme="minorHAnsi"/>
          <w:sz w:val="24"/>
          <w:szCs w:val="24"/>
        </w:rPr>
        <w:br/>
      </w:r>
      <w:r w:rsidR="003631EC">
        <w:rPr>
          <w:rFonts w:cstheme="minorHAnsi"/>
          <w:sz w:val="24"/>
          <w:szCs w:val="24"/>
        </w:rPr>
        <w:t>a</w:t>
      </w:r>
      <w:r w:rsidR="003631EC" w:rsidRPr="003631EC">
        <w:rPr>
          <w:rFonts w:cstheme="minorHAnsi"/>
          <w:sz w:val="24"/>
          <w:szCs w:val="24"/>
        </w:rPr>
        <w:t xml:space="preserve"> </w:t>
      </w:r>
      <w:r w:rsidR="003631EC">
        <w:rPr>
          <w:rFonts w:cstheme="minorHAnsi"/>
          <w:sz w:val="24"/>
          <w:szCs w:val="24"/>
        </w:rPr>
        <w:t>v květnu 2024 u váhy na dálnici D4 (ORP Černošice). U vah na dálnicích D2 (ORP Židlochovice) a D8 (ORP Lovosice) jej neuplatňuje a vážní lístky předává oběma ORP bez omezení. V případě vah na dálnicích D5 (ORP Nýřany) a D35 (</w:t>
      </w:r>
      <w:r w:rsidR="000D04F3">
        <w:rPr>
          <w:rFonts w:cstheme="minorHAnsi"/>
          <w:sz w:val="24"/>
          <w:szCs w:val="24"/>
        </w:rPr>
        <w:t xml:space="preserve">ORP </w:t>
      </w:r>
      <w:r w:rsidR="003631EC">
        <w:rPr>
          <w:rFonts w:cstheme="minorHAnsi"/>
          <w:sz w:val="24"/>
          <w:szCs w:val="24"/>
        </w:rPr>
        <w:t xml:space="preserve">Olomouc) </w:t>
      </w:r>
      <w:r w:rsidR="00E57FBD">
        <w:rPr>
          <w:rFonts w:cstheme="minorHAnsi"/>
          <w:sz w:val="24"/>
          <w:szCs w:val="24"/>
        </w:rPr>
        <w:t xml:space="preserve">přepínání do tzv. „indikativního režimu“ </w:t>
      </w:r>
      <w:r w:rsidR="00496989">
        <w:rPr>
          <w:rFonts w:cstheme="minorHAnsi"/>
          <w:sz w:val="24"/>
          <w:szCs w:val="24"/>
        </w:rPr>
        <w:t xml:space="preserve">ŘSD </w:t>
      </w:r>
      <w:r w:rsidR="003631EC">
        <w:rPr>
          <w:rFonts w:cstheme="minorHAnsi"/>
          <w:sz w:val="24"/>
          <w:szCs w:val="24"/>
        </w:rPr>
        <w:t>do konce roku 2024 rovněž neuplat</w:t>
      </w:r>
      <w:r w:rsidR="00496989">
        <w:rPr>
          <w:rFonts w:cstheme="minorHAnsi"/>
          <w:sz w:val="24"/>
          <w:szCs w:val="24"/>
        </w:rPr>
        <w:t>nilo</w:t>
      </w:r>
      <w:r w:rsidR="003631EC">
        <w:rPr>
          <w:rFonts w:cstheme="minorHAnsi"/>
          <w:sz w:val="24"/>
          <w:szCs w:val="24"/>
        </w:rPr>
        <w:t xml:space="preserve">, </w:t>
      </w:r>
      <w:r w:rsidR="00496989">
        <w:rPr>
          <w:rFonts w:cstheme="minorHAnsi"/>
          <w:sz w:val="24"/>
          <w:szCs w:val="24"/>
        </w:rPr>
        <w:t>příčina však spočívala v tom</w:t>
      </w:r>
      <w:r w:rsidR="00E57FBD">
        <w:rPr>
          <w:rFonts w:cstheme="minorHAnsi"/>
          <w:sz w:val="24"/>
          <w:szCs w:val="24"/>
        </w:rPr>
        <w:t>, že</w:t>
      </w:r>
      <w:r w:rsidR="003631EC">
        <w:rPr>
          <w:rFonts w:cstheme="minorHAnsi"/>
          <w:sz w:val="24"/>
          <w:szCs w:val="24"/>
        </w:rPr>
        <w:t xml:space="preserve"> tyto </w:t>
      </w:r>
      <w:r w:rsidR="0069131C">
        <w:rPr>
          <w:rFonts w:cstheme="minorHAnsi"/>
          <w:sz w:val="24"/>
          <w:szCs w:val="24"/>
        </w:rPr>
        <w:t xml:space="preserve">dvě </w:t>
      </w:r>
      <w:r w:rsidR="003631EC">
        <w:rPr>
          <w:rFonts w:cstheme="minorHAnsi"/>
          <w:sz w:val="24"/>
          <w:szCs w:val="24"/>
        </w:rPr>
        <w:t xml:space="preserve">váhy </w:t>
      </w:r>
      <w:r w:rsidR="00E57FBD">
        <w:rPr>
          <w:rFonts w:cstheme="minorHAnsi"/>
          <w:sz w:val="24"/>
          <w:szCs w:val="24"/>
        </w:rPr>
        <w:t xml:space="preserve">vůbec </w:t>
      </w:r>
      <w:r w:rsidR="003631EC">
        <w:rPr>
          <w:rFonts w:cstheme="minorHAnsi"/>
          <w:sz w:val="24"/>
          <w:szCs w:val="24"/>
        </w:rPr>
        <w:t xml:space="preserve">neprováděly </w:t>
      </w:r>
      <w:r w:rsidR="00FE7ABA">
        <w:rPr>
          <w:rFonts w:cstheme="minorHAnsi"/>
          <w:sz w:val="24"/>
          <w:szCs w:val="24"/>
        </w:rPr>
        <w:t xml:space="preserve">VKV </w:t>
      </w:r>
      <w:r w:rsidR="003631EC">
        <w:rPr>
          <w:rFonts w:cstheme="minorHAnsi"/>
          <w:sz w:val="24"/>
          <w:szCs w:val="24"/>
        </w:rPr>
        <w:t>z důvodu nespolupráce příslušných ORP.</w:t>
      </w:r>
    </w:p>
    <w:p w14:paraId="13CA811C" w14:textId="77777777" w:rsidR="003631EC" w:rsidRDefault="003631EC" w:rsidP="0097197F">
      <w:pPr>
        <w:spacing w:after="0" w:line="252" w:lineRule="auto"/>
        <w:contextualSpacing/>
        <w:jc w:val="both"/>
        <w:rPr>
          <w:rFonts w:cstheme="minorHAnsi"/>
          <w:sz w:val="24"/>
          <w:szCs w:val="24"/>
        </w:rPr>
      </w:pPr>
    </w:p>
    <w:p w14:paraId="5AC7D6E0" w14:textId="10B6A90F" w:rsidR="00C3047F" w:rsidRDefault="002B37CE" w:rsidP="00FE5DAB">
      <w:pPr>
        <w:contextualSpacing/>
        <w:jc w:val="both"/>
        <w:rPr>
          <w:rFonts w:cstheme="minorHAnsi"/>
          <w:sz w:val="24"/>
          <w:szCs w:val="24"/>
        </w:rPr>
      </w:pPr>
      <w:r>
        <w:rPr>
          <w:rFonts w:cstheme="minorHAnsi"/>
          <w:sz w:val="24"/>
          <w:szCs w:val="24"/>
        </w:rPr>
        <w:t>4.2</w:t>
      </w:r>
      <w:r w:rsidR="00216774">
        <w:rPr>
          <w:rFonts w:cstheme="minorHAnsi"/>
          <w:sz w:val="24"/>
          <w:szCs w:val="24"/>
        </w:rPr>
        <w:t>9</w:t>
      </w:r>
      <w:r>
        <w:rPr>
          <w:rFonts w:cstheme="minorHAnsi"/>
          <w:sz w:val="24"/>
          <w:szCs w:val="24"/>
        </w:rPr>
        <w:t xml:space="preserve"> </w:t>
      </w:r>
      <w:r w:rsidR="00BF0773">
        <w:rPr>
          <w:rFonts w:cstheme="minorHAnsi"/>
          <w:sz w:val="24"/>
          <w:szCs w:val="24"/>
        </w:rPr>
        <w:t>MD u</w:t>
      </w:r>
      <w:r w:rsidR="00DB202E">
        <w:rPr>
          <w:rFonts w:cstheme="minorHAnsi"/>
          <w:sz w:val="24"/>
          <w:szCs w:val="24"/>
        </w:rPr>
        <w:t>veden</w:t>
      </w:r>
      <w:r w:rsidR="00BF0773">
        <w:rPr>
          <w:rFonts w:cstheme="minorHAnsi"/>
          <w:sz w:val="24"/>
          <w:szCs w:val="24"/>
        </w:rPr>
        <w:t>ým</w:t>
      </w:r>
      <w:r w:rsidR="00DB202E">
        <w:rPr>
          <w:rFonts w:cstheme="minorHAnsi"/>
          <w:sz w:val="24"/>
          <w:szCs w:val="24"/>
        </w:rPr>
        <w:t xml:space="preserve"> opatření</w:t>
      </w:r>
      <w:r w:rsidR="00BF0773">
        <w:rPr>
          <w:rFonts w:cstheme="minorHAnsi"/>
          <w:sz w:val="24"/>
          <w:szCs w:val="24"/>
        </w:rPr>
        <w:t>m</w:t>
      </w:r>
      <w:r w:rsidR="00DB202E">
        <w:rPr>
          <w:rFonts w:cstheme="minorHAnsi"/>
          <w:sz w:val="24"/>
          <w:szCs w:val="24"/>
        </w:rPr>
        <w:t xml:space="preserve"> </w:t>
      </w:r>
      <w:r w:rsidR="008115BF">
        <w:rPr>
          <w:rFonts w:cstheme="minorHAnsi"/>
          <w:sz w:val="24"/>
          <w:szCs w:val="24"/>
        </w:rPr>
        <w:t>n</w:t>
      </w:r>
      <w:r w:rsidR="00DB202E">
        <w:rPr>
          <w:rFonts w:cstheme="minorHAnsi"/>
          <w:sz w:val="24"/>
          <w:szCs w:val="24"/>
        </w:rPr>
        <w:t>e</w:t>
      </w:r>
      <w:r w:rsidR="008115BF">
        <w:rPr>
          <w:rFonts w:cstheme="minorHAnsi"/>
          <w:sz w:val="24"/>
          <w:szCs w:val="24"/>
        </w:rPr>
        <w:t>zajistilo</w:t>
      </w:r>
      <w:r w:rsidR="00DB202E">
        <w:rPr>
          <w:rFonts w:cstheme="minorHAnsi"/>
          <w:sz w:val="24"/>
          <w:szCs w:val="24"/>
        </w:rPr>
        <w:t xml:space="preserve"> </w:t>
      </w:r>
      <w:r w:rsidR="00E57FBD">
        <w:rPr>
          <w:rFonts w:cstheme="minorHAnsi"/>
          <w:sz w:val="24"/>
          <w:szCs w:val="24"/>
        </w:rPr>
        <w:t>účinnější</w:t>
      </w:r>
      <w:r w:rsidR="008115BF">
        <w:rPr>
          <w:rFonts w:cstheme="minorHAnsi"/>
          <w:sz w:val="24"/>
          <w:szCs w:val="24"/>
        </w:rPr>
        <w:t xml:space="preserve"> postih </w:t>
      </w:r>
      <w:r w:rsidR="00FE7ABA">
        <w:rPr>
          <w:rFonts w:cstheme="minorHAnsi"/>
          <w:sz w:val="24"/>
          <w:szCs w:val="24"/>
        </w:rPr>
        <w:t>vážních deliktů</w:t>
      </w:r>
      <w:r w:rsidR="008115BF">
        <w:rPr>
          <w:rFonts w:cstheme="minorHAnsi"/>
          <w:sz w:val="24"/>
          <w:szCs w:val="24"/>
        </w:rPr>
        <w:t xml:space="preserve"> </w:t>
      </w:r>
      <w:r w:rsidR="00E57FBD">
        <w:rPr>
          <w:rFonts w:cstheme="minorHAnsi"/>
          <w:sz w:val="24"/>
          <w:szCs w:val="24"/>
        </w:rPr>
        <w:t xml:space="preserve">a </w:t>
      </w:r>
      <w:r w:rsidR="008115BF">
        <w:rPr>
          <w:rFonts w:cstheme="minorHAnsi"/>
          <w:sz w:val="24"/>
          <w:szCs w:val="24"/>
        </w:rPr>
        <w:t xml:space="preserve">omezení jízd </w:t>
      </w:r>
      <w:r w:rsidR="00DB202E">
        <w:rPr>
          <w:rFonts w:cstheme="minorHAnsi"/>
          <w:sz w:val="24"/>
          <w:szCs w:val="24"/>
        </w:rPr>
        <w:t>přetížených vozidel</w:t>
      </w:r>
      <w:r w:rsidR="008115BF">
        <w:rPr>
          <w:rFonts w:cstheme="minorHAnsi"/>
          <w:sz w:val="24"/>
          <w:szCs w:val="24"/>
        </w:rPr>
        <w:t xml:space="preserve">. Naopak </w:t>
      </w:r>
      <w:r w:rsidR="00C3047F">
        <w:rPr>
          <w:rFonts w:cstheme="minorHAnsi"/>
          <w:sz w:val="24"/>
          <w:szCs w:val="24"/>
        </w:rPr>
        <w:t xml:space="preserve">tím </w:t>
      </w:r>
      <w:r w:rsidR="00B75580">
        <w:rPr>
          <w:rFonts w:cstheme="minorHAnsi"/>
          <w:sz w:val="24"/>
          <w:szCs w:val="24"/>
        </w:rPr>
        <w:t>umožnilo</w:t>
      </w:r>
      <w:r w:rsidR="008115BF">
        <w:rPr>
          <w:rFonts w:cstheme="minorHAnsi"/>
          <w:sz w:val="24"/>
          <w:szCs w:val="24"/>
        </w:rPr>
        <w:t xml:space="preserve">, </w:t>
      </w:r>
      <w:r w:rsidR="00B75580">
        <w:rPr>
          <w:rFonts w:cstheme="minorHAnsi"/>
          <w:sz w:val="24"/>
          <w:szCs w:val="24"/>
        </w:rPr>
        <w:t>aby</w:t>
      </w:r>
      <w:r w:rsidR="008115BF">
        <w:rPr>
          <w:rFonts w:cstheme="minorHAnsi"/>
          <w:sz w:val="24"/>
          <w:szCs w:val="24"/>
        </w:rPr>
        <w:t xml:space="preserve"> značná část vážních deliktů </w:t>
      </w:r>
      <w:r w:rsidR="00DB202E">
        <w:rPr>
          <w:rFonts w:cstheme="minorHAnsi"/>
          <w:sz w:val="24"/>
          <w:szCs w:val="24"/>
        </w:rPr>
        <w:t>ne</w:t>
      </w:r>
      <w:r w:rsidR="00B75580">
        <w:rPr>
          <w:rFonts w:cstheme="minorHAnsi"/>
          <w:sz w:val="24"/>
          <w:szCs w:val="24"/>
        </w:rPr>
        <w:t>byla</w:t>
      </w:r>
      <w:r w:rsidR="00DB202E">
        <w:rPr>
          <w:rFonts w:cstheme="minorHAnsi"/>
          <w:sz w:val="24"/>
          <w:szCs w:val="24"/>
        </w:rPr>
        <w:t xml:space="preserve"> posti</w:t>
      </w:r>
      <w:r w:rsidR="00045827">
        <w:rPr>
          <w:rFonts w:cstheme="minorHAnsi"/>
          <w:sz w:val="24"/>
          <w:szCs w:val="24"/>
        </w:rPr>
        <w:t>žena</w:t>
      </w:r>
      <w:r w:rsidR="008115BF" w:rsidRPr="008115BF">
        <w:rPr>
          <w:rFonts w:cstheme="minorHAnsi"/>
          <w:sz w:val="24"/>
          <w:szCs w:val="24"/>
        </w:rPr>
        <w:t xml:space="preserve"> </w:t>
      </w:r>
      <w:r w:rsidR="008115BF">
        <w:rPr>
          <w:rFonts w:cstheme="minorHAnsi"/>
          <w:sz w:val="24"/>
          <w:szCs w:val="24"/>
        </w:rPr>
        <w:t>a</w:t>
      </w:r>
      <w:r w:rsidR="00045827">
        <w:rPr>
          <w:rFonts w:cstheme="minorHAnsi"/>
          <w:sz w:val="24"/>
          <w:szCs w:val="24"/>
        </w:rPr>
        <w:t> </w:t>
      </w:r>
      <w:r w:rsidR="008115BF">
        <w:rPr>
          <w:rFonts w:cstheme="minorHAnsi"/>
          <w:sz w:val="24"/>
          <w:szCs w:val="24"/>
        </w:rPr>
        <w:t>vyk</w:t>
      </w:r>
      <w:r w:rsidR="00045827">
        <w:rPr>
          <w:rFonts w:cstheme="minorHAnsi"/>
          <w:sz w:val="24"/>
          <w:szCs w:val="24"/>
        </w:rPr>
        <w:t>ázána</w:t>
      </w:r>
      <w:r w:rsidR="00DB202E">
        <w:rPr>
          <w:rFonts w:cstheme="minorHAnsi"/>
          <w:sz w:val="24"/>
          <w:szCs w:val="24"/>
        </w:rPr>
        <w:t>.</w:t>
      </w:r>
      <w:r w:rsidR="002C4336">
        <w:rPr>
          <w:rFonts w:cstheme="minorHAnsi"/>
          <w:sz w:val="24"/>
          <w:szCs w:val="24"/>
        </w:rPr>
        <w:t xml:space="preserve"> </w:t>
      </w:r>
      <w:r w:rsidR="00FE5DAB" w:rsidRPr="00FE5DAB">
        <w:rPr>
          <w:rFonts w:cstheme="minorHAnsi"/>
          <w:sz w:val="24"/>
          <w:szCs w:val="24"/>
        </w:rPr>
        <w:t>Jedná se o</w:t>
      </w:r>
      <w:r w:rsidR="00045827">
        <w:rPr>
          <w:rFonts w:cstheme="minorHAnsi"/>
          <w:sz w:val="24"/>
          <w:szCs w:val="24"/>
        </w:rPr>
        <w:t xml:space="preserve"> </w:t>
      </w:r>
      <w:r w:rsidR="00A26395">
        <w:rPr>
          <w:rFonts w:cstheme="minorHAnsi"/>
          <w:sz w:val="24"/>
          <w:szCs w:val="24"/>
        </w:rPr>
        <w:t>zásadní překážku</w:t>
      </w:r>
      <w:r w:rsidR="00FE5DAB" w:rsidRPr="00FE5DAB">
        <w:rPr>
          <w:rFonts w:cstheme="minorHAnsi"/>
          <w:sz w:val="24"/>
          <w:szCs w:val="24"/>
        </w:rPr>
        <w:t xml:space="preserve"> pro účinné fungování systému VKV ve smyslu postihu a prevence jízd přetížených vozidel. MD problém s nastavením systému VKV pro řešení všech zjišťovaných vážních deliktů </w:t>
      </w:r>
      <w:r w:rsidR="00FE5DAB" w:rsidRPr="00917C6A">
        <w:rPr>
          <w:rFonts w:cstheme="minorHAnsi"/>
          <w:sz w:val="24"/>
          <w:szCs w:val="24"/>
        </w:rPr>
        <w:t>nevyřešilo</w:t>
      </w:r>
      <w:r w:rsidR="00FE5DAB" w:rsidRPr="00FE5DAB">
        <w:rPr>
          <w:rFonts w:cstheme="minorHAnsi"/>
          <w:sz w:val="24"/>
          <w:szCs w:val="24"/>
        </w:rPr>
        <w:t xml:space="preserve">. Nadále tak dochází k postihu jen velmi malého podílu z celkového počtu překročení hmotnostních limitů. Stanovení měsíčních limitů pro počet předávaných vážních lístků </w:t>
      </w:r>
      <w:r w:rsidR="00C3047F" w:rsidRPr="00052107">
        <w:rPr>
          <w:rFonts w:cstheme="minorHAnsi"/>
          <w:sz w:val="24"/>
          <w:szCs w:val="24"/>
        </w:rPr>
        <w:t>nemá oporu v právních předpisech a zároveň relativizuje účelnost a efektivnost investic do pořizování dalších zařízení pro VKV. Problematičnosti tohoto řešení si bylo vědomo i MD.</w:t>
      </w:r>
    </w:p>
    <w:p w14:paraId="3F8B490F" w14:textId="77777777" w:rsidR="006E7618" w:rsidRDefault="006E7618" w:rsidP="003631EC">
      <w:pPr>
        <w:spacing w:line="252" w:lineRule="auto"/>
        <w:contextualSpacing/>
        <w:jc w:val="both"/>
        <w:rPr>
          <w:rFonts w:cstheme="minorHAnsi"/>
          <w:sz w:val="24"/>
          <w:szCs w:val="24"/>
        </w:rPr>
      </w:pPr>
    </w:p>
    <w:p w14:paraId="5D7E9DB0" w14:textId="4A804F02" w:rsidR="004A60EB" w:rsidRPr="00BF0773" w:rsidRDefault="003631EC"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i/>
          <w:sz w:val="24"/>
          <w:szCs w:val="24"/>
        </w:rPr>
      </w:pPr>
      <w:r>
        <w:rPr>
          <w:rFonts w:cstheme="minorHAnsi"/>
          <w:sz w:val="24"/>
          <w:szCs w:val="24"/>
        </w:rPr>
        <w:t>Z</w:t>
      </w:r>
      <w:r w:rsidRPr="00B75580">
        <w:rPr>
          <w:rFonts w:cstheme="minorHAnsi"/>
          <w:sz w:val="24"/>
          <w:szCs w:val="24"/>
        </w:rPr>
        <w:t xml:space="preserve"> dokumentu MD </w:t>
      </w:r>
      <w:r>
        <w:rPr>
          <w:rFonts w:cstheme="minorHAnsi"/>
          <w:sz w:val="24"/>
          <w:szCs w:val="24"/>
        </w:rPr>
        <w:t>z listopadu 2023</w:t>
      </w:r>
      <w:r w:rsidRPr="00B75580">
        <w:rPr>
          <w:rFonts w:cstheme="minorHAnsi"/>
          <w:sz w:val="24"/>
          <w:szCs w:val="24"/>
        </w:rPr>
        <w:t xml:space="preserve">: </w:t>
      </w:r>
      <w:r w:rsidRPr="004459F3">
        <w:rPr>
          <w:rFonts w:cstheme="minorHAnsi"/>
          <w:iCs/>
          <w:sz w:val="24"/>
          <w:szCs w:val="24"/>
        </w:rPr>
        <w:t>„</w:t>
      </w:r>
      <w:r w:rsidRPr="00BD4A28">
        <w:rPr>
          <w:rFonts w:cstheme="minorHAnsi"/>
          <w:i/>
          <w:sz w:val="24"/>
          <w:szCs w:val="24"/>
        </w:rPr>
        <w:t>V současné době je možné na základě novelizované vyhlášky</w:t>
      </w:r>
      <w:r>
        <w:rPr>
          <w:rFonts w:cstheme="minorHAnsi"/>
          <w:i/>
          <w:sz w:val="24"/>
          <w:szCs w:val="24"/>
        </w:rPr>
        <w:t xml:space="preserve"> </w:t>
      </w:r>
      <w:r w:rsidRPr="00BD4A28">
        <w:rPr>
          <w:rFonts w:cstheme="minorHAnsi"/>
          <w:i/>
          <w:sz w:val="24"/>
          <w:szCs w:val="24"/>
        </w:rPr>
        <w:t>č. 104/1997 Sb. (s účinností od 1. 4. 2022) přistupovat k přepínání mezi tzv. indikativním</w:t>
      </w:r>
      <w:r>
        <w:rPr>
          <w:rFonts w:cstheme="minorHAnsi"/>
          <w:i/>
          <w:sz w:val="24"/>
          <w:szCs w:val="24"/>
        </w:rPr>
        <w:t xml:space="preserve"> </w:t>
      </w:r>
      <w:r w:rsidRPr="00BD4A28">
        <w:rPr>
          <w:rFonts w:cstheme="minorHAnsi"/>
          <w:i/>
          <w:sz w:val="24"/>
          <w:szCs w:val="24"/>
        </w:rPr>
        <w:t>a ostrým provozem, když v indikativním režimu nejsou zjištěné přestupky zasílány na ORP, lze tak regulovat celkové množství nápadu. Jsme si vědomi toho, že nejde o řešení optimální/finální</w:t>
      </w:r>
      <w:r w:rsidRPr="0039402B">
        <w:rPr>
          <w:rFonts w:cstheme="minorHAnsi"/>
          <w:i/>
          <w:sz w:val="24"/>
          <w:szCs w:val="24"/>
        </w:rPr>
        <w:t>.</w:t>
      </w:r>
      <w:r w:rsidRPr="004459F3">
        <w:rPr>
          <w:rFonts w:cstheme="minorHAnsi"/>
          <w:iCs/>
          <w:sz w:val="24"/>
          <w:szCs w:val="24"/>
        </w:rPr>
        <w:t xml:space="preserve">“ </w:t>
      </w:r>
    </w:p>
    <w:p w14:paraId="5D744F96" w14:textId="77777777" w:rsidR="004A60EB" w:rsidRDefault="004A60EB" w:rsidP="0097197F">
      <w:pPr>
        <w:spacing w:after="0" w:line="252" w:lineRule="auto"/>
        <w:contextualSpacing/>
        <w:jc w:val="both"/>
        <w:rPr>
          <w:rFonts w:cstheme="minorHAnsi"/>
          <w:sz w:val="24"/>
          <w:szCs w:val="24"/>
        </w:rPr>
      </w:pPr>
    </w:p>
    <w:p w14:paraId="521E27D9" w14:textId="77777777" w:rsidR="007D37FD" w:rsidRDefault="002B37CE" w:rsidP="0097197F">
      <w:pPr>
        <w:spacing w:after="0" w:line="252" w:lineRule="auto"/>
        <w:contextualSpacing/>
        <w:jc w:val="both"/>
        <w:rPr>
          <w:rFonts w:cstheme="minorHAnsi"/>
          <w:sz w:val="24"/>
          <w:szCs w:val="24"/>
        </w:rPr>
      </w:pPr>
      <w:r w:rsidRPr="00052107">
        <w:rPr>
          <w:rFonts w:cstheme="minorHAnsi"/>
          <w:sz w:val="24"/>
          <w:szCs w:val="24"/>
        </w:rPr>
        <w:t>4.</w:t>
      </w:r>
      <w:r w:rsidR="00216774" w:rsidRPr="00052107">
        <w:rPr>
          <w:rFonts w:cstheme="minorHAnsi"/>
          <w:sz w:val="24"/>
          <w:szCs w:val="24"/>
        </w:rPr>
        <w:t>30</w:t>
      </w:r>
      <w:r w:rsidRPr="00052107">
        <w:rPr>
          <w:rFonts w:cstheme="minorHAnsi"/>
          <w:sz w:val="24"/>
          <w:szCs w:val="24"/>
        </w:rPr>
        <w:t xml:space="preserve"> </w:t>
      </w:r>
      <w:r w:rsidR="00EF5204" w:rsidRPr="00052107">
        <w:rPr>
          <w:rFonts w:cstheme="minorHAnsi"/>
          <w:sz w:val="24"/>
          <w:szCs w:val="24"/>
        </w:rPr>
        <w:t>Postup ŘSD, kdy po přepnutí vah do</w:t>
      </w:r>
      <w:r w:rsidR="00E57FBD" w:rsidRPr="00052107">
        <w:rPr>
          <w:rFonts w:cstheme="minorHAnsi"/>
          <w:sz w:val="24"/>
          <w:szCs w:val="24"/>
        </w:rPr>
        <w:t xml:space="preserve"> tzv.</w:t>
      </w:r>
      <w:r w:rsidR="00EF5204" w:rsidRPr="00052107">
        <w:rPr>
          <w:rFonts w:cstheme="minorHAnsi"/>
          <w:sz w:val="24"/>
          <w:szCs w:val="24"/>
        </w:rPr>
        <w:t xml:space="preserve"> „indikativního režimu“ nejsou při zjištění </w:t>
      </w:r>
      <w:r w:rsidR="00FA3CE8" w:rsidRPr="00FA3CE8">
        <w:rPr>
          <w:rFonts w:cstheme="minorHAnsi"/>
          <w:sz w:val="24"/>
          <w:szCs w:val="24"/>
        </w:rPr>
        <w:t>překročení hmotnostních limitů</w:t>
      </w:r>
      <w:r w:rsidR="00EF5204" w:rsidRPr="00052107">
        <w:rPr>
          <w:rFonts w:cstheme="minorHAnsi"/>
          <w:sz w:val="24"/>
          <w:szCs w:val="24"/>
        </w:rPr>
        <w:t xml:space="preserve"> vystavovány vážní lístky</w:t>
      </w:r>
      <w:r w:rsidR="00BF0773" w:rsidRPr="00052107">
        <w:rPr>
          <w:rFonts w:cstheme="minorHAnsi"/>
          <w:sz w:val="24"/>
          <w:szCs w:val="24"/>
        </w:rPr>
        <w:t xml:space="preserve">, které by byly </w:t>
      </w:r>
      <w:r w:rsidR="00EF5204" w:rsidRPr="00052107">
        <w:rPr>
          <w:rFonts w:cstheme="minorHAnsi"/>
          <w:sz w:val="24"/>
          <w:szCs w:val="24"/>
        </w:rPr>
        <w:t>doručovány příslušným ORP</w:t>
      </w:r>
      <w:r w:rsidR="00621394" w:rsidRPr="00052107">
        <w:rPr>
          <w:rFonts w:cstheme="minorHAnsi"/>
          <w:sz w:val="24"/>
          <w:szCs w:val="24"/>
        </w:rPr>
        <w:t>,</w:t>
      </w:r>
      <w:r w:rsidR="00EF5204" w:rsidRPr="00052107">
        <w:rPr>
          <w:rFonts w:cstheme="minorHAnsi"/>
          <w:sz w:val="24"/>
          <w:szCs w:val="24"/>
        </w:rPr>
        <w:t xml:space="preserve"> </w:t>
      </w:r>
      <w:r w:rsidR="00E57FBD" w:rsidRPr="00052107">
        <w:rPr>
          <w:rFonts w:cstheme="minorHAnsi"/>
          <w:sz w:val="24"/>
          <w:szCs w:val="24"/>
        </w:rPr>
        <w:t>není</w:t>
      </w:r>
      <w:r w:rsidR="00E57FBD">
        <w:rPr>
          <w:rFonts w:cstheme="minorHAnsi"/>
          <w:sz w:val="24"/>
          <w:szCs w:val="24"/>
        </w:rPr>
        <w:t xml:space="preserve"> v souladu s</w:t>
      </w:r>
      <w:r w:rsidR="00817DFD">
        <w:rPr>
          <w:rFonts w:cstheme="minorHAnsi"/>
          <w:sz w:val="24"/>
          <w:szCs w:val="24"/>
        </w:rPr>
        <w:t xml:space="preserve"> ustanovením </w:t>
      </w:r>
      <w:r w:rsidR="00B75580" w:rsidRPr="00BD4A28">
        <w:rPr>
          <w:rFonts w:cstheme="minorHAnsi"/>
          <w:sz w:val="24"/>
          <w:szCs w:val="24"/>
        </w:rPr>
        <w:t>§ 38d odst. 2 zák</w:t>
      </w:r>
      <w:r w:rsidR="00B75580">
        <w:rPr>
          <w:rFonts w:cstheme="minorHAnsi"/>
          <w:sz w:val="24"/>
          <w:szCs w:val="24"/>
        </w:rPr>
        <w:t>ona</w:t>
      </w:r>
      <w:r w:rsidR="00B75580" w:rsidRPr="00BD4A28">
        <w:rPr>
          <w:rFonts w:cstheme="minorHAnsi"/>
          <w:sz w:val="24"/>
          <w:szCs w:val="24"/>
        </w:rPr>
        <w:t xml:space="preserve"> č. 13/1997 Sb.</w:t>
      </w:r>
      <w:r w:rsidR="00463842">
        <w:rPr>
          <w:rFonts w:cstheme="minorHAnsi"/>
          <w:sz w:val="24"/>
          <w:szCs w:val="24"/>
        </w:rPr>
        <w:t xml:space="preserve"> Zároveň dochází ke snížení účelnosti a hospodárnosti peněžních prostředků vynaložených na pořízení a provoz vah</w:t>
      </w:r>
      <w:r w:rsidR="00817DFD">
        <w:rPr>
          <w:rFonts w:cstheme="minorHAnsi"/>
          <w:sz w:val="24"/>
          <w:szCs w:val="24"/>
        </w:rPr>
        <w:t xml:space="preserve"> pro VKV</w:t>
      </w:r>
      <w:r w:rsidR="00463842">
        <w:rPr>
          <w:rFonts w:cstheme="minorHAnsi"/>
          <w:sz w:val="24"/>
          <w:szCs w:val="24"/>
        </w:rPr>
        <w:t xml:space="preserve">, které po přepnutí do tzv. </w:t>
      </w:r>
      <w:r w:rsidR="00817DFD">
        <w:rPr>
          <w:rFonts w:cstheme="minorHAnsi"/>
          <w:sz w:val="24"/>
          <w:szCs w:val="24"/>
        </w:rPr>
        <w:t>„</w:t>
      </w:r>
      <w:r w:rsidR="00463842">
        <w:rPr>
          <w:rFonts w:cstheme="minorHAnsi"/>
          <w:sz w:val="24"/>
          <w:szCs w:val="24"/>
        </w:rPr>
        <w:t>indikativního režimu</w:t>
      </w:r>
      <w:r w:rsidR="00817DFD">
        <w:rPr>
          <w:rFonts w:cstheme="minorHAnsi"/>
          <w:sz w:val="24"/>
          <w:szCs w:val="24"/>
        </w:rPr>
        <w:t xml:space="preserve">“ </w:t>
      </w:r>
      <w:r w:rsidR="00463842">
        <w:rPr>
          <w:rFonts w:cstheme="minorHAnsi"/>
          <w:sz w:val="24"/>
          <w:szCs w:val="24"/>
        </w:rPr>
        <w:t xml:space="preserve">neplní úkoly, </w:t>
      </w:r>
      <w:r w:rsidR="00817DFD">
        <w:rPr>
          <w:rFonts w:cstheme="minorHAnsi"/>
          <w:sz w:val="24"/>
          <w:szCs w:val="24"/>
        </w:rPr>
        <w:t>k nimž</w:t>
      </w:r>
      <w:r w:rsidR="00463842">
        <w:rPr>
          <w:rFonts w:cstheme="minorHAnsi"/>
          <w:sz w:val="24"/>
          <w:szCs w:val="24"/>
        </w:rPr>
        <w:t xml:space="preserve"> byly pořízeny</w:t>
      </w:r>
      <w:r w:rsidR="001A5850">
        <w:rPr>
          <w:rFonts w:cstheme="minorHAnsi"/>
          <w:sz w:val="24"/>
          <w:szCs w:val="24"/>
        </w:rPr>
        <w:t xml:space="preserve">. </w:t>
      </w:r>
      <w:r w:rsidR="00817DFD">
        <w:rPr>
          <w:rFonts w:cstheme="minorHAnsi"/>
          <w:sz w:val="24"/>
          <w:szCs w:val="24"/>
        </w:rPr>
        <w:t xml:space="preserve">ŘSD tedy tímto postupem porušilo povinnosti </w:t>
      </w:r>
      <w:r w:rsidR="00817DFD" w:rsidRPr="00F910D3">
        <w:rPr>
          <w:rFonts w:cstheme="minorHAnsi"/>
          <w:sz w:val="24"/>
          <w:szCs w:val="24"/>
        </w:rPr>
        <w:t>využívat majetek (váhy pro VKV) účelně, hospodárně</w:t>
      </w:r>
      <w:r w:rsidR="00FA3CE8">
        <w:rPr>
          <w:rFonts w:cstheme="minorHAnsi"/>
          <w:sz w:val="24"/>
          <w:szCs w:val="24"/>
        </w:rPr>
        <w:t xml:space="preserve"> </w:t>
      </w:r>
      <w:r w:rsidR="00817DFD" w:rsidRPr="00F910D3">
        <w:rPr>
          <w:rFonts w:cstheme="minorHAnsi"/>
          <w:sz w:val="24"/>
          <w:szCs w:val="24"/>
        </w:rPr>
        <w:t>a efektivně a chránit majetek (</w:t>
      </w:r>
      <w:r w:rsidR="00F910D3" w:rsidRPr="00F910D3">
        <w:rPr>
          <w:rFonts w:cstheme="minorHAnsi"/>
          <w:sz w:val="24"/>
          <w:szCs w:val="24"/>
        </w:rPr>
        <w:t>dálnice a silnice I. třídy)</w:t>
      </w:r>
      <w:r w:rsidR="00817DFD" w:rsidRPr="00F910D3">
        <w:rPr>
          <w:rFonts w:cstheme="minorHAnsi"/>
          <w:sz w:val="24"/>
          <w:szCs w:val="24"/>
        </w:rPr>
        <w:t xml:space="preserve"> před poškozením</w:t>
      </w:r>
      <w:r w:rsidR="00817DFD">
        <w:rPr>
          <w:rFonts w:cstheme="minorHAnsi"/>
          <w:sz w:val="24"/>
          <w:szCs w:val="24"/>
        </w:rPr>
        <w:t xml:space="preserve">, které mu vyplývají z ustanovení </w:t>
      </w:r>
      <w:r w:rsidR="00817DFD" w:rsidRPr="00817DFD">
        <w:rPr>
          <w:rFonts w:cstheme="minorHAnsi"/>
          <w:sz w:val="24"/>
          <w:szCs w:val="24"/>
        </w:rPr>
        <w:t>§ 17b odst. 1</w:t>
      </w:r>
      <w:r w:rsidR="00430506">
        <w:rPr>
          <w:rFonts w:cstheme="minorHAnsi"/>
          <w:sz w:val="24"/>
          <w:szCs w:val="24"/>
        </w:rPr>
        <w:t xml:space="preserve"> a odst. 2</w:t>
      </w:r>
      <w:r w:rsidR="00817DFD" w:rsidRPr="00817DFD">
        <w:rPr>
          <w:rFonts w:cstheme="minorHAnsi"/>
          <w:sz w:val="24"/>
          <w:szCs w:val="24"/>
        </w:rPr>
        <w:t xml:space="preserve"> zákona č. 77/1997 Sb.</w:t>
      </w:r>
    </w:p>
    <w:p w14:paraId="69EBA16C" w14:textId="77777777" w:rsidR="007D37FD" w:rsidRDefault="007D37FD" w:rsidP="0097197F">
      <w:pPr>
        <w:spacing w:after="0" w:line="252" w:lineRule="auto"/>
        <w:contextualSpacing/>
        <w:jc w:val="both"/>
        <w:rPr>
          <w:rFonts w:cstheme="minorHAnsi"/>
          <w:sz w:val="24"/>
          <w:szCs w:val="24"/>
        </w:rPr>
      </w:pPr>
    </w:p>
    <w:p w14:paraId="0F9C942A" w14:textId="192ADD3F" w:rsidR="007D37FD" w:rsidRDefault="002B37CE" w:rsidP="0097197F">
      <w:pPr>
        <w:spacing w:after="0" w:line="252" w:lineRule="auto"/>
        <w:contextualSpacing/>
        <w:jc w:val="both"/>
        <w:rPr>
          <w:rFonts w:cstheme="minorHAnsi"/>
          <w:sz w:val="24"/>
          <w:szCs w:val="24"/>
        </w:rPr>
      </w:pPr>
      <w:r>
        <w:rPr>
          <w:rFonts w:cstheme="minorHAnsi"/>
          <w:sz w:val="24"/>
          <w:szCs w:val="24"/>
        </w:rPr>
        <w:t>4.</w:t>
      </w:r>
      <w:r w:rsidR="004A09F6">
        <w:rPr>
          <w:rFonts w:cstheme="minorHAnsi"/>
          <w:sz w:val="24"/>
          <w:szCs w:val="24"/>
        </w:rPr>
        <w:t>3</w:t>
      </w:r>
      <w:r w:rsidR="00216774">
        <w:rPr>
          <w:rFonts w:cstheme="minorHAnsi"/>
          <w:sz w:val="24"/>
          <w:szCs w:val="24"/>
        </w:rPr>
        <w:t>1</w:t>
      </w:r>
      <w:r>
        <w:rPr>
          <w:rFonts w:cstheme="minorHAnsi"/>
          <w:sz w:val="24"/>
          <w:szCs w:val="24"/>
        </w:rPr>
        <w:t xml:space="preserve"> </w:t>
      </w:r>
      <w:r w:rsidR="00A63514">
        <w:rPr>
          <w:rFonts w:cstheme="minorHAnsi"/>
          <w:sz w:val="24"/>
          <w:szCs w:val="24"/>
        </w:rPr>
        <w:t>N</w:t>
      </w:r>
      <w:r w:rsidR="007D37FD">
        <w:rPr>
          <w:rFonts w:cstheme="minorHAnsi"/>
          <w:sz w:val="24"/>
          <w:szCs w:val="24"/>
        </w:rPr>
        <w:t xml:space="preserve">a nepřijatelnost </w:t>
      </w:r>
      <w:r w:rsidR="006C70DF">
        <w:rPr>
          <w:rFonts w:cstheme="minorHAnsi"/>
          <w:sz w:val="24"/>
          <w:szCs w:val="24"/>
        </w:rPr>
        <w:t xml:space="preserve">upuštění od </w:t>
      </w:r>
      <w:r w:rsidR="007D37FD">
        <w:rPr>
          <w:rFonts w:cstheme="minorHAnsi"/>
          <w:sz w:val="24"/>
          <w:szCs w:val="24"/>
        </w:rPr>
        <w:t xml:space="preserve">postihu zjištěných vážních deliktů </w:t>
      </w:r>
      <w:r w:rsidR="00AB0823">
        <w:rPr>
          <w:rFonts w:cstheme="minorHAnsi"/>
          <w:sz w:val="24"/>
          <w:szCs w:val="24"/>
        </w:rPr>
        <w:t xml:space="preserve">upozornilo </w:t>
      </w:r>
      <w:r w:rsidR="007D37FD">
        <w:rPr>
          <w:rFonts w:cstheme="minorHAnsi"/>
          <w:sz w:val="24"/>
          <w:szCs w:val="24"/>
        </w:rPr>
        <w:t xml:space="preserve">ŘSD </w:t>
      </w:r>
      <w:r w:rsidR="00AB0823">
        <w:rPr>
          <w:rFonts w:cstheme="minorHAnsi"/>
          <w:sz w:val="24"/>
          <w:szCs w:val="24"/>
        </w:rPr>
        <w:t xml:space="preserve">dopisem </w:t>
      </w:r>
      <w:r w:rsidR="00A63514">
        <w:rPr>
          <w:rFonts w:cstheme="minorHAnsi"/>
          <w:sz w:val="24"/>
          <w:szCs w:val="24"/>
        </w:rPr>
        <w:t xml:space="preserve">MD </w:t>
      </w:r>
      <w:r w:rsidR="001A519E">
        <w:rPr>
          <w:rFonts w:cstheme="minorHAnsi"/>
          <w:sz w:val="24"/>
          <w:szCs w:val="24"/>
        </w:rPr>
        <w:t xml:space="preserve">již </w:t>
      </w:r>
      <w:r w:rsidR="007D37FD">
        <w:rPr>
          <w:rFonts w:cstheme="minorHAnsi"/>
          <w:sz w:val="24"/>
          <w:szCs w:val="24"/>
        </w:rPr>
        <w:t>v březnu 2021</w:t>
      </w:r>
      <w:r w:rsidR="001A519E">
        <w:rPr>
          <w:rFonts w:cstheme="minorHAnsi"/>
          <w:sz w:val="24"/>
          <w:szCs w:val="24"/>
        </w:rPr>
        <w:t xml:space="preserve">, tedy více než rok před </w:t>
      </w:r>
      <w:r w:rsidR="00091ECF">
        <w:rPr>
          <w:rFonts w:cstheme="minorHAnsi"/>
          <w:sz w:val="24"/>
          <w:szCs w:val="24"/>
        </w:rPr>
        <w:t xml:space="preserve">nabytím účinnosti </w:t>
      </w:r>
      <w:r w:rsidR="001A519E">
        <w:rPr>
          <w:rFonts w:cstheme="minorHAnsi"/>
          <w:sz w:val="24"/>
          <w:szCs w:val="24"/>
        </w:rPr>
        <w:t xml:space="preserve">vyhlášky </w:t>
      </w:r>
      <w:r w:rsidR="001A519E" w:rsidRPr="00C76193">
        <w:rPr>
          <w:rFonts w:cstheme="minorHAnsi"/>
          <w:sz w:val="24"/>
          <w:szCs w:val="24"/>
        </w:rPr>
        <w:t xml:space="preserve">č. </w:t>
      </w:r>
      <w:r w:rsidR="00F35940" w:rsidRPr="00C76193">
        <w:rPr>
          <w:rFonts w:cstheme="minorHAnsi"/>
          <w:sz w:val="24"/>
          <w:szCs w:val="24"/>
        </w:rPr>
        <w:t>49/2022 Sb., kterou se mění vyhláška č. </w:t>
      </w:r>
      <w:hyperlink r:id="rId9" w:history="1">
        <w:r w:rsidR="00F35940" w:rsidRPr="00C76193">
          <w:rPr>
            <w:rFonts w:cstheme="minorHAnsi"/>
            <w:sz w:val="24"/>
            <w:szCs w:val="24"/>
          </w:rPr>
          <w:t>104/1997 Sb.</w:t>
        </w:r>
      </w:hyperlink>
      <w:r w:rsidR="00F35940" w:rsidRPr="00C76193">
        <w:rPr>
          <w:rFonts w:cstheme="minorHAnsi"/>
          <w:sz w:val="24"/>
          <w:szCs w:val="24"/>
        </w:rPr>
        <w:t>, kterou se provádí </w:t>
      </w:r>
      <w:hyperlink r:id="rId10" w:history="1">
        <w:r w:rsidR="00F35940" w:rsidRPr="00C76193">
          <w:rPr>
            <w:rFonts w:cstheme="minorHAnsi"/>
            <w:sz w:val="24"/>
            <w:szCs w:val="24"/>
          </w:rPr>
          <w:t>zákon o pozemních komunikacích</w:t>
        </w:r>
      </w:hyperlink>
      <w:r w:rsidR="00F35940" w:rsidRPr="00C76193">
        <w:rPr>
          <w:rFonts w:cstheme="minorHAnsi"/>
          <w:sz w:val="24"/>
          <w:szCs w:val="24"/>
        </w:rPr>
        <w:t>, ve znění pozdějších předpisů</w:t>
      </w:r>
      <w:r w:rsidR="00F35940">
        <w:rPr>
          <w:rFonts w:cstheme="minorHAnsi"/>
          <w:sz w:val="24"/>
          <w:szCs w:val="24"/>
        </w:rPr>
        <w:t>.</w:t>
      </w:r>
      <w:r w:rsidR="00AB0823">
        <w:rPr>
          <w:rFonts w:cstheme="minorHAnsi"/>
          <w:sz w:val="24"/>
          <w:szCs w:val="24"/>
        </w:rPr>
        <w:t xml:space="preserve"> </w:t>
      </w:r>
      <w:r w:rsidR="001A519E">
        <w:rPr>
          <w:rFonts w:cstheme="minorHAnsi"/>
          <w:sz w:val="24"/>
          <w:szCs w:val="24"/>
        </w:rPr>
        <w:t>S</w:t>
      </w:r>
      <w:r w:rsidR="007D37FD">
        <w:rPr>
          <w:rFonts w:cstheme="minorHAnsi"/>
          <w:sz w:val="24"/>
          <w:szCs w:val="24"/>
        </w:rPr>
        <w:t xml:space="preserve">oučástí </w:t>
      </w:r>
      <w:r w:rsidR="001A519E">
        <w:rPr>
          <w:rFonts w:cstheme="minorHAnsi"/>
          <w:sz w:val="24"/>
          <w:szCs w:val="24"/>
        </w:rPr>
        <w:t xml:space="preserve">tohoto dopisu </w:t>
      </w:r>
      <w:r w:rsidR="007D37FD">
        <w:rPr>
          <w:rFonts w:cstheme="minorHAnsi"/>
          <w:sz w:val="24"/>
          <w:szCs w:val="24"/>
        </w:rPr>
        <w:t xml:space="preserve">bylo mj. i stanovisko advokátní kanceláře, které si k této problematice nechalo </w:t>
      </w:r>
      <w:r w:rsidR="00045827">
        <w:rPr>
          <w:rFonts w:cstheme="minorHAnsi"/>
          <w:sz w:val="24"/>
          <w:szCs w:val="24"/>
        </w:rPr>
        <w:t xml:space="preserve">ŘSD </w:t>
      </w:r>
      <w:r w:rsidR="007D37FD">
        <w:rPr>
          <w:rFonts w:cstheme="minorHAnsi"/>
          <w:sz w:val="24"/>
          <w:szCs w:val="24"/>
        </w:rPr>
        <w:t>zpracovat.</w:t>
      </w:r>
      <w:r w:rsidR="006C70DF">
        <w:rPr>
          <w:rFonts w:cstheme="minorHAnsi"/>
          <w:sz w:val="24"/>
          <w:szCs w:val="24"/>
        </w:rPr>
        <w:t xml:space="preserve"> V září </w:t>
      </w:r>
      <w:r w:rsidR="00817DFD" w:rsidRPr="00052107">
        <w:rPr>
          <w:rFonts w:cstheme="minorHAnsi"/>
          <w:sz w:val="24"/>
          <w:szCs w:val="24"/>
        </w:rPr>
        <w:t xml:space="preserve">2021 </w:t>
      </w:r>
      <w:r w:rsidR="006C70DF" w:rsidRPr="00052107">
        <w:rPr>
          <w:rFonts w:cstheme="minorHAnsi"/>
          <w:sz w:val="24"/>
          <w:szCs w:val="24"/>
        </w:rPr>
        <w:t xml:space="preserve">pak </w:t>
      </w:r>
      <w:r w:rsidR="00817DFD" w:rsidRPr="00052107">
        <w:rPr>
          <w:rFonts w:cstheme="minorHAnsi"/>
          <w:sz w:val="24"/>
          <w:szCs w:val="24"/>
        </w:rPr>
        <w:t xml:space="preserve">ŘSD </w:t>
      </w:r>
      <w:r w:rsidR="00A650CA" w:rsidRPr="00052107">
        <w:rPr>
          <w:rFonts w:cstheme="minorHAnsi"/>
          <w:sz w:val="24"/>
          <w:szCs w:val="24"/>
        </w:rPr>
        <w:t>nesouladem</w:t>
      </w:r>
      <w:r w:rsidR="00D6028D" w:rsidRPr="00052107">
        <w:rPr>
          <w:rFonts w:cstheme="minorHAnsi"/>
          <w:sz w:val="24"/>
          <w:szCs w:val="24"/>
        </w:rPr>
        <w:t xml:space="preserve"> vypínání vah s</w:t>
      </w:r>
      <w:r w:rsidR="001A519E">
        <w:rPr>
          <w:rFonts w:cstheme="minorHAnsi"/>
          <w:sz w:val="24"/>
          <w:szCs w:val="24"/>
        </w:rPr>
        <w:t>e svou</w:t>
      </w:r>
      <w:r w:rsidR="00304F81">
        <w:rPr>
          <w:rFonts w:cstheme="minorHAnsi"/>
          <w:sz w:val="24"/>
          <w:szCs w:val="24"/>
        </w:rPr>
        <w:t xml:space="preserve"> </w:t>
      </w:r>
      <w:r w:rsidR="00D6028D" w:rsidRPr="00052107">
        <w:rPr>
          <w:rFonts w:cstheme="minorHAnsi"/>
          <w:sz w:val="24"/>
          <w:szCs w:val="24"/>
        </w:rPr>
        <w:t xml:space="preserve">povinností plnit určené úkoly nejhospodárnějším způsobem zdůvodnilo zrušení </w:t>
      </w:r>
      <w:r w:rsidR="0036123D" w:rsidRPr="00052107">
        <w:rPr>
          <w:rFonts w:cstheme="minorHAnsi"/>
          <w:sz w:val="24"/>
          <w:szCs w:val="24"/>
        </w:rPr>
        <w:t xml:space="preserve">čtyř </w:t>
      </w:r>
      <w:r w:rsidR="00D6028D" w:rsidRPr="00052107">
        <w:rPr>
          <w:rFonts w:cstheme="minorHAnsi"/>
          <w:sz w:val="24"/>
          <w:szCs w:val="24"/>
        </w:rPr>
        <w:t>zadávacích řízení na pořízení nových vah pro VKV.</w:t>
      </w:r>
    </w:p>
    <w:p w14:paraId="0549D23A" w14:textId="77777777" w:rsidR="002A13F1" w:rsidRDefault="002A13F1" w:rsidP="0097197F">
      <w:pPr>
        <w:spacing w:after="0" w:line="252" w:lineRule="auto"/>
        <w:contextualSpacing/>
        <w:jc w:val="both"/>
        <w:rPr>
          <w:rFonts w:cstheme="minorHAnsi"/>
          <w:sz w:val="24"/>
          <w:szCs w:val="24"/>
        </w:rPr>
      </w:pPr>
    </w:p>
    <w:p w14:paraId="09989C3D" w14:textId="77121B29" w:rsidR="00011530" w:rsidRDefault="00011530" w:rsidP="00045827">
      <w:pPr>
        <w:keepNext/>
        <w:keepLines/>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i/>
          <w:sz w:val="24"/>
          <w:szCs w:val="24"/>
        </w:rPr>
      </w:pPr>
      <w:r>
        <w:rPr>
          <w:rFonts w:cstheme="minorHAnsi"/>
          <w:sz w:val="24"/>
          <w:szCs w:val="24"/>
        </w:rPr>
        <w:lastRenderedPageBreak/>
        <w:t>Z</w:t>
      </w:r>
      <w:r w:rsidR="00312C05">
        <w:rPr>
          <w:rFonts w:cstheme="minorHAnsi"/>
          <w:sz w:val="24"/>
          <w:szCs w:val="24"/>
        </w:rPr>
        <w:t xml:space="preserve"> </w:t>
      </w:r>
      <w:r>
        <w:rPr>
          <w:rFonts w:cstheme="minorHAnsi"/>
          <w:sz w:val="24"/>
          <w:szCs w:val="24"/>
        </w:rPr>
        <w:t>právního stanoviska advokátní kanceláře</w:t>
      </w:r>
      <w:r w:rsidR="007D37FD">
        <w:rPr>
          <w:rFonts w:cstheme="minorHAnsi"/>
          <w:sz w:val="24"/>
          <w:szCs w:val="24"/>
        </w:rPr>
        <w:t>,</w:t>
      </w:r>
      <w:r>
        <w:rPr>
          <w:rFonts w:cstheme="minorHAnsi"/>
          <w:sz w:val="24"/>
          <w:szCs w:val="24"/>
        </w:rPr>
        <w:t xml:space="preserve"> s</w:t>
      </w:r>
      <w:r w:rsidR="00312C05">
        <w:rPr>
          <w:rFonts w:cstheme="minorHAnsi"/>
          <w:sz w:val="24"/>
          <w:szCs w:val="24"/>
        </w:rPr>
        <w:t xml:space="preserve"> </w:t>
      </w:r>
      <w:r>
        <w:rPr>
          <w:rFonts w:cstheme="minorHAnsi"/>
          <w:sz w:val="24"/>
          <w:szCs w:val="24"/>
        </w:rPr>
        <w:t xml:space="preserve">nímž </w:t>
      </w:r>
      <w:r w:rsidR="007D37FD">
        <w:rPr>
          <w:rFonts w:cstheme="minorHAnsi"/>
          <w:sz w:val="24"/>
          <w:szCs w:val="24"/>
        </w:rPr>
        <w:t xml:space="preserve">ŘSD </w:t>
      </w:r>
      <w:r>
        <w:rPr>
          <w:rFonts w:cstheme="minorHAnsi"/>
          <w:sz w:val="24"/>
          <w:szCs w:val="24"/>
        </w:rPr>
        <w:t>v</w:t>
      </w:r>
      <w:r w:rsidR="00312C05">
        <w:rPr>
          <w:rFonts w:cstheme="minorHAnsi"/>
          <w:sz w:val="24"/>
          <w:szCs w:val="24"/>
        </w:rPr>
        <w:t xml:space="preserve"> </w:t>
      </w:r>
      <w:r>
        <w:rPr>
          <w:rFonts w:cstheme="minorHAnsi"/>
          <w:sz w:val="24"/>
          <w:szCs w:val="24"/>
        </w:rPr>
        <w:t>březnu 2021 seznámilo MD</w:t>
      </w:r>
      <w:r w:rsidRPr="004459F3">
        <w:rPr>
          <w:rFonts w:cstheme="minorHAnsi"/>
          <w:iCs/>
          <w:sz w:val="24"/>
          <w:szCs w:val="24"/>
        </w:rPr>
        <w:t>:</w:t>
      </w:r>
      <w:r w:rsidRPr="008B2C07">
        <w:rPr>
          <w:rFonts w:cstheme="minorHAnsi"/>
          <w:i/>
          <w:sz w:val="24"/>
          <w:szCs w:val="24"/>
        </w:rPr>
        <w:t xml:space="preserve"> </w:t>
      </w:r>
      <w:r w:rsidRPr="004459F3">
        <w:rPr>
          <w:rFonts w:cstheme="minorHAnsi"/>
          <w:iCs/>
          <w:sz w:val="24"/>
          <w:szCs w:val="24"/>
        </w:rPr>
        <w:t>„</w:t>
      </w:r>
      <w:r w:rsidR="00356D81" w:rsidRPr="00F86B0C">
        <w:rPr>
          <w:rFonts w:cstheme="minorHAnsi"/>
          <w:i/>
          <w:sz w:val="24"/>
          <w:szCs w:val="24"/>
        </w:rPr>
        <w:t>Vysokorychlostní váhy byly pořízeny z veřejných prostředků za účelem vykonávání působnosti na úseku vysokorychlostního vážení, přičemž je povinností subjektů zajišťujících zjišťování a</w:t>
      </w:r>
      <w:r w:rsidR="00045827">
        <w:rPr>
          <w:rFonts w:cstheme="minorHAnsi"/>
          <w:i/>
          <w:sz w:val="24"/>
          <w:szCs w:val="24"/>
        </w:rPr>
        <w:t> </w:t>
      </w:r>
      <w:r w:rsidR="00356D81" w:rsidRPr="00F86B0C">
        <w:rPr>
          <w:rFonts w:cstheme="minorHAnsi"/>
          <w:i/>
          <w:sz w:val="24"/>
          <w:szCs w:val="24"/>
        </w:rPr>
        <w:t xml:space="preserve">řešení těchto přestupků tak činit. </w:t>
      </w:r>
      <w:r w:rsidRPr="008B2C07">
        <w:rPr>
          <w:rFonts w:cstheme="minorHAnsi"/>
          <w:i/>
          <w:sz w:val="24"/>
          <w:szCs w:val="24"/>
        </w:rPr>
        <w:t>Nelze považovat za přípustné, aby správní orgán rezignoval na svoji zákonnou povinnost a přestal stíhat a šetřit přestupky, které spadají do jeho zákonem vymezené působnosti.</w:t>
      </w:r>
      <w:r w:rsidRPr="004459F3">
        <w:rPr>
          <w:rFonts w:cstheme="minorHAnsi"/>
          <w:iCs/>
          <w:sz w:val="24"/>
          <w:szCs w:val="24"/>
        </w:rPr>
        <w:t>“</w:t>
      </w:r>
    </w:p>
    <w:p w14:paraId="3EAE9817" w14:textId="77777777" w:rsidR="006C70DF" w:rsidRDefault="006C70DF" w:rsidP="006C70DF">
      <w:pPr>
        <w:spacing w:line="252" w:lineRule="auto"/>
        <w:contextualSpacing/>
        <w:jc w:val="both"/>
        <w:rPr>
          <w:rFonts w:cstheme="minorHAnsi"/>
          <w:sz w:val="24"/>
          <w:szCs w:val="24"/>
        </w:rPr>
      </w:pPr>
    </w:p>
    <w:p w14:paraId="4B0D9295" w14:textId="1B3DD31A" w:rsidR="006C70DF" w:rsidRDefault="006C70DF"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i/>
          <w:sz w:val="24"/>
          <w:szCs w:val="24"/>
        </w:rPr>
      </w:pPr>
      <w:r>
        <w:rPr>
          <w:rFonts w:cstheme="minorHAnsi"/>
          <w:sz w:val="24"/>
          <w:szCs w:val="24"/>
        </w:rPr>
        <w:t xml:space="preserve">Z odůvodnění, jímž ŘSD v září 2021 vysvětlilo zrušení </w:t>
      </w:r>
      <w:r w:rsidR="0036123D">
        <w:rPr>
          <w:rFonts w:cstheme="minorHAnsi"/>
          <w:sz w:val="24"/>
          <w:szCs w:val="24"/>
        </w:rPr>
        <w:t xml:space="preserve">čtyř </w:t>
      </w:r>
      <w:r>
        <w:rPr>
          <w:rFonts w:cstheme="minorHAnsi"/>
          <w:sz w:val="24"/>
          <w:szCs w:val="24"/>
        </w:rPr>
        <w:t>zadávací</w:t>
      </w:r>
      <w:r w:rsidR="00D6028D">
        <w:rPr>
          <w:rFonts w:cstheme="minorHAnsi"/>
          <w:sz w:val="24"/>
          <w:szCs w:val="24"/>
        </w:rPr>
        <w:t>ch</w:t>
      </w:r>
      <w:r>
        <w:rPr>
          <w:rFonts w:cstheme="minorHAnsi"/>
          <w:sz w:val="24"/>
          <w:szCs w:val="24"/>
        </w:rPr>
        <w:t xml:space="preserve"> řízení na pořízení vah</w:t>
      </w:r>
      <w:r w:rsidR="00D6028D">
        <w:rPr>
          <w:rFonts w:cstheme="minorHAnsi"/>
          <w:sz w:val="24"/>
          <w:szCs w:val="24"/>
        </w:rPr>
        <w:t xml:space="preserve"> pro VKV</w:t>
      </w:r>
      <w:r>
        <w:rPr>
          <w:rFonts w:cstheme="minorHAnsi"/>
          <w:sz w:val="24"/>
          <w:szCs w:val="24"/>
        </w:rPr>
        <w:t xml:space="preserve"> z důvodu nevyřešení problémů s provozem stávajících</w:t>
      </w:r>
      <w:r w:rsidRPr="00463842">
        <w:rPr>
          <w:rFonts w:cstheme="minorHAnsi"/>
          <w:sz w:val="24"/>
          <w:szCs w:val="24"/>
        </w:rPr>
        <w:t xml:space="preserve"> </w:t>
      </w:r>
      <w:r>
        <w:rPr>
          <w:rFonts w:cstheme="minorHAnsi"/>
          <w:sz w:val="24"/>
          <w:szCs w:val="24"/>
        </w:rPr>
        <w:t>vah</w:t>
      </w:r>
      <w:r w:rsidRPr="00B75580">
        <w:rPr>
          <w:rFonts w:cstheme="minorHAnsi"/>
          <w:sz w:val="24"/>
          <w:szCs w:val="24"/>
        </w:rPr>
        <w:t xml:space="preserve">: </w:t>
      </w:r>
      <w:r w:rsidRPr="004459F3">
        <w:rPr>
          <w:rFonts w:cstheme="minorHAnsi"/>
          <w:iCs/>
          <w:sz w:val="24"/>
          <w:szCs w:val="24"/>
        </w:rPr>
        <w:t>„</w:t>
      </w:r>
      <w:r>
        <w:rPr>
          <w:rFonts w:cstheme="minorHAnsi"/>
          <w:i/>
          <w:sz w:val="24"/>
          <w:szCs w:val="24"/>
        </w:rPr>
        <w:t xml:space="preserve">Zadavatel </w:t>
      </w:r>
      <w:r w:rsidRPr="00463842">
        <w:rPr>
          <w:rFonts w:cstheme="minorHAnsi"/>
          <w:i/>
          <w:sz w:val="24"/>
          <w:szCs w:val="24"/>
        </w:rPr>
        <w:t>nemá možnost váhy vypnout, neboť byly zakoupeny z veřejných prostředků právě za účelem kontrolního vážení. Arbitrární zapínání a vypínání vysokorychlostních vah, resp. jejich přepínání do módu negenerujícího příslušné vážní lístky by znamenalo kolizi s povinností zadavatele plnit určené úkoly nejhospodárnějším způsobem.</w:t>
      </w:r>
      <w:r w:rsidRPr="004459F3">
        <w:rPr>
          <w:rFonts w:cstheme="minorHAnsi"/>
          <w:iCs/>
          <w:sz w:val="24"/>
          <w:szCs w:val="24"/>
        </w:rPr>
        <w:t xml:space="preserve">“ </w:t>
      </w:r>
    </w:p>
    <w:p w14:paraId="62BD2B01" w14:textId="77777777" w:rsidR="006C70DF" w:rsidRDefault="006C70DF" w:rsidP="006C70DF">
      <w:pPr>
        <w:spacing w:after="0" w:line="252" w:lineRule="auto"/>
        <w:contextualSpacing/>
        <w:jc w:val="both"/>
        <w:rPr>
          <w:rFonts w:cstheme="minorHAnsi"/>
          <w:sz w:val="24"/>
          <w:szCs w:val="24"/>
        </w:rPr>
      </w:pPr>
    </w:p>
    <w:p w14:paraId="0E27AD24" w14:textId="18D02500" w:rsidR="003C203E" w:rsidRPr="00052107" w:rsidRDefault="003C203E" w:rsidP="006C70DF">
      <w:pPr>
        <w:spacing w:after="0" w:line="252" w:lineRule="auto"/>
        <w:contextualSpacing/>
        <w:jc w:val="both"/>
        <w:rPr>
          <w:rFonts w:cstheme="minorHAnsi"/>
          <w:sz w:val="24"/>
          <w:szCs w:val="24"/>
        </w:rPr>
      </w:pPr>
      <w:r w:rsidRPr="00052107">
        <w:rPr>
          <w:rFonts w:cstheme="minorHAnsi"/>
          <w:sz w:val="24"/>
          <w:szCs w:val="24"/>
        </w:rPr>
        <w:t>4.32</w:t>
      </w:r>
      <w:r w:rsidR="00E730D3" w:rsidRPr="00052107">
        <w:rPr>
          <w:rFonts w:cstheme="minorHAnsi"/>
          <w:sz w:val="24"/>
          <w:szCs w:val="24"/>
        </w:rPr>
        <w:t xml:space="preserve"> Doba, kdy váhy pro VKV </w:t>
      </w:r>
      <w:r w:rsidR="00045827">
        <w:rPr>
          <w:rFonts w:cstheme="minorHAnsi"/>
          <w:sz w:val="24"/>
          <w:szCs w:val="24"/>
        </w:rPr>
        <w:t>pracují</w:t>
      </w:r>
      <w:r w:rsidR="00E730D3" w:rsidRPr="00052107">
        <w:rPr>
          <w:rFonts w:cstheme="minorHAnsi"/>
          <w:sz w:val="24"/>
          <w:szCs w:val="24"/>
        </w:rPr>
        <w:t xml:space="preserve"> v tzv. „indikativní</w:t>
      </w:r>
      <w:r w:rsidR="00045827">
        <w:rPr>
          <w:rFonts w:cstheme="minorHAnsi"/>
          <w:sz w:val="24"/>
          <w:szCs w:val="24"/>
        </w:rPr>
        <w:t>m</w:t>
      </w:r>
      <w:r w:rsidR="00E730D3" w:rsidRPr="00052107">
        <w:rPr>
          <w:rFonts w:cstheme="minorHAnsi"/>
          <w:sz w:val="24"/>
          <w:szCs w:val="24"/>
        </w:rPr>
        <w:t xml:space="preserve"> režimu“</w:t>
      </w:r>
      <w:r w:rsidR="00045827">
        <w:rPr>
          <w:rFonts w:cstheme="minorHAnsi"/>
          <w:sz w:val="24"/>
          <w:szCs w:val="24"/>
        </w:rPr>
        <w:t>,</w:t>
      </w:r>
      <w:r w:rsidR="00E730D3" w:rsidRPr="00052107">
        <w:rPr>
          <w:rFonts w:cstheme="minorHAnsi"/>
          <w:sz w:val="24"/>
          <w:szCs w:val="24"/>
        </w:rPr>
        <w:t xml:space="preserve"> tvoří významný podíl celkové doby jejich provozu. Velmi vysoký je i podíl vážních deliktů, které jsou po přepnutí vah do „</w:t>
      </w:r>
      <w:r w:rsidR="00045827">
        <w:rPr>
          <w:rFonts w:cstheme="minorHAnsi"/>
          <w:sz w:val="24"/>
          <w:szCs w:val="24"/>
        </w:rPr>
        <w:t>i</w:t>
      </w:r>
      <w:r w:rsidR="00E730D3" w:rsidRPr="00052107">
        <w:rPr>
          <w:rFonts w:cstheme="minorHAnsi"/>
          <w:sz w:val="24"/>
          <w:szCs w:val="24"/>
        </w:rPr>
        <w:t xml:space="preserve">ndikativního režimu“ zjištěny a </w:t>
      </w:r>
      <w:r w:rsidR="00045827">
        <w:rPr>
          <w:rFonts w:cstheme="minorHAnsi"/>
          <w:sz w:val="24"/>
          <w:szCs w:val="24"/>
        </w:rPr>
        <w:t>z</w:t>
      </w:r>
      <w:r w:rsidR="00E730D3" w:rsidRPr="00052107">
        <w:rPr>
          <w:rFonts w:cstheme="minorHAnsi"/>
          <w:sz w:val="24"/>
          <w:szCs w:val="24"/>
        </w:rPr>
        <w:t xml:space="preserve">dokumentovány, ale nejsou předány příslušným ORP k řešení v přestupkovém řízení (viz příklady č. </w:t>
      </w:r>
      <w:r w:rsidR="00E741C1">
        <w:rPr>
          <w:rFonts w:cstheme="minorHAnsi"/>
          <w:sz w:val="24"/>
          <w:szCs w:val="24"/>
        </w:rPr>
        <w:t>1</w:t>
      </w:r>
      <w:r w:rsidR="00E730D3" w:rsidRPr="00052107">
        <w:rPr>
          <w:rFonts w:cstheme="minorHAnsi"/>
          <w:sz w:val="24"/>
          <w:szCs w:val="24"/>
        </w:rPr>
        <w:t xml:space="preserve"> a č. </w:t>
      </w:r>
      <w:r w:rsidR="00E741C1">
        <w:rPr>
          <w:rFonts w:cstheme="minorHAnsi"/>
          <w:sz w:val="24"/>
          <w:szCs w:val="24"/>
        </w:rPr>
        <w:t>2</w:t>
      </w:r>
      <w:r w:rsidR="00E730D3" w:rsidRPr="00052107">
        <w:rPr>
          <w:rFonts w:cstheme="minorHAnsi"/>
          <w:sz w:val="24"/>
          <w:szCs w:val="24"/>
        </w:rPr>
        <w:t>).</w:t>
      </w:r>
    </w:p>
    <w:p w14:paraId="1E6EE05E" w14:textId="77777777" w:rsidR="00B654EF" w:rsidRDefault="00B654EF" w:rsidP="0056656A">
      <w:pPr>
        <w:spacing w:after="0" w:line="252" w:lineRule="auto"/>
        <w:contextualSpacing/>
        <w:rPr>
          <w:rFonts w:eastAsia="Calibri" w:cstheme="minorHAnsi"/>
          <w:b/>
          <w:sz w:val="24"/>
          <w:szCs w:val="24"/>
        </w:rPr>
      </w:pPr>
    </w:p>
    <w:p w14:paraId="1EA23D55" w14:textId="0428368A" w:rsidR="0056656A" w:rsidRDefault="0056656A" w:rsidP="0056656A">
      <w:pPr>
        <w:spacing w:after="0" w:line="252" w:lineRule="auto"/>
        <w:contextualSpacing/>
        <w:rPr>
          <w:rFonts w:eastAsia="Calibri" w:cstheme="minorHAnsi"/>
          <w:b/>
          <w:sz w:val="24"/>
          <w:szCs w:val="24"/>
        </w:rPr>
      </w:pPr>
      <w:r w:rsidRPr="00052107">
        <w:rPr>
          <w:rFonts w:eastAsia="Calibri" w:cstheme="minorHAnsi"/>
          <w:b/>
          <w:sz w:val="24"/>
          <w:szCs w:val="24"/>
        </w:rPr>
        <w:t xml:space="preserve">Příklad č. </w:t>
      </w:r>
      <w:r w:rsidR="00E741C1">
        <w:rPr>
          <w:rFonts w:eastAsia="Calibri" w:cstheme="minorHAnsi"/>
          <w:b/>
          <w:sz w:val="24"/>
          <w:szCs w:val="24"/>
        </w:rPr>
        <w:t>1</w:t>
      </w:r>
      <w:r w:rsidRPr="00052107">
        <w:rPr>
          <w:rFonts w:eastAsia="Calibri" w:cstheme="minorHAnsi"/>
          <w:b/>
          <w:sz w:val="24"/>
          <w:szCs w:val="24"/>
        </w:rPr>
        <w:t>: Provoz váhy pro VKV na dálnici D1 v květnu 2024</w:t>
      </w:r>
    </w:p>
    <w:p w14:paraId="5117AEC9" w14:textId="77777777" w:rsidR="0056656A" w:rsidRPr="0056656A" w:rsidRDefault="0056656A" w:rsidP="0056656A">
      <w:pPr>
        <w:spacing w:after="0" w:line="252" w:lineRule="auto"/>
        <w:contextualSpacing/>
        <w:rPr>
          <w:rFonts w:eastAsia="Calibri" w:cstheme="minorHAnsi"/>
          <w:b/>
          <w:sz w:val="6"/>
          <w:szCs w:val="6"/>
        </w:rPr>
      </w:pPr>
    </w:p>
    <w:p w14:paraId="149924BF" w14:textId="77777777" w:rsidR="0056656A" w:rsidRDefault="0056656A"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 xml:space="preserve">Váha pro VKV na dálnici D1 (ORP Jihlava) zjišťovala a dokumentovala vážní delikty v „ostrém režimu“ </w:t>
      </w:r>
      <w:r w:rsidR="00E730D3">
        <w:rPr>
          <w:rFonts w:cstheme="minorHAnsi"/>
          <w:sz w:val="24"/>
          <w:szCs w:val="24"/>
        </w:rPr>
        <w:t xml:space="preserve">po dobu jen 3,61 % časového fondu </w:t>
      </w:r>
      <w:r>
        <w:rPr>
          <w:rFonts w:cstheme="minorHAnsi"/>
          <w:sz w:val="24"/>
          <w:szCs w:val="24"/>
        </w:rPr>
        <w:t xml:space="preserve">měsíce května 2024. Po zbylých </w:t>
      </w:r>
      <w:r w:rsidR="00E730D3">
        <w:rPr>
          <w:rFonts w:cstheme="minorHAnsi"/>
          <w:sz w:val="24"/>
          <w:szCs w:val="24"/>
        </w:rPr>
        <w:t xml:space="preserve">96,39 % </w:t>
      </w:r>
      <w:r>
        <w:rPr>
          <w:rFonts w:cstheme="minorHAnsi"/>
          <w:sz w:val="24"/>
          <w:szCs w:val="24"/>
        </w:rPr>
        <w:t xml:space="preserve">doby byla přepnuta do „indikativního režimu“. Výsledných 250 vážních deliktů předaných ORP přitom představuje jen </w:t>
      </w:r>
      <w:r w:rsidR="00E730D3">
        <w:rPr>
          <w:rFonts w:cstheme="minorHAnsi"/>
          <w:sz w:val="24"/>
          <w:szCs w:val="24"/>
        </w:rPr>
        <w:t>2,6</w:t>
      </w:r>
      <w:r>
        <w:rPr>
          <w:rFonts w:cstheme="minorHAnsi"/>
          <w:sz w:val="24"/>
          <w:szCs w:val="24"/>
        </w:rPr>
        <w:t xml:space="preserve">1 % z celkových </w:t>
      </w:r>
      <w:r w:rsidR="00E730D3">
        <w:rPr>
          <w:rFonts w:cstheme="minorHAnsi"/>
          <w:sz w:val="24"/>
          <w:szCs w:val="24"/>
        </w:rPr>
        <w:t>9 581</w:t>
      </w:r>
      <w:r>
        <w:rPr>
          <w:rFonts w:cstheme="minorHAnsi"/>
          <w:sz w:val="24"/>
          <w:szCs w:val="24"/>
        </w:rPr>
        <w:t xml:space="preserve"> vážních deliktů zachycených touto váhou v květnu 2024.</w:t>
      </w:r>
      <w:r w:rsidR="00803BCF">
        <w:rPr>
          <w:rFonts w:cstheme="minorHAnsi"/>
          <w:sz w:val="24"/>
          <w:szCs w:val="24"/>
        </w:rPr>
        <w:t xml:space="preserve"> </w:t>
      </w:r>
      <w:r w:rsidR="00803BCF" w:rsidRPr="001209FF">
        <w:rPr>
          <w:rFonts w:cstheme="minorHAnsi"/>
          <w:sz w:val="24"/>
          <w:szCs w:val="24"/>
        </w:rPr>
        <w:t>Zbylých 9 331 vážních deliktů nebylo vůbec řešeno.</w:t>
      </w:r>
    </w:p>
    <w:p w14:paraId="5223710D" w14:textId="77777777" w:rsidR="0056656A" w:rsidRDefault="0056656A" w:rsidP="006C70DF">
      <w:pPr>
        <w:spacing w:after="0" w:line="252" w:lineRule="auto"/>
        <w:contextualSpacing/>
        <w:jc w:val="both"/>
        <w:rPr>
          <w:rFonts w:cstheme="minorHAnsi"/>
          <w:sz w:val="24"/>
          <w:szCs w:val="24"/>
        </w:rPr>
      </w:pPr>
    </w:p>
    <w:p w14:paraId="34B4EC5F" w14:textId="15C0EED4" w:rsidR="003C203E" w:rsidRDefault="003C203E" w:rsidP="003C203E">
      <w:pPr>
        <w:spacing w:after="0" w:line="252" w:lineRule="auto"/>
        <w:contextualSpacing/>
        <w:rPr>
          <w:rFonts w:eastAsia="Calibri" w:cstheme="minorHAnsi"/>
          <w:b/>
          <w:sz w:val="24"/>
          <w:szCs w:val="24"/>
        </w:rPr>
      </w:pPr>
      <w:r w:rsidRPr="00052107">
        <w:rPr>
          <w:rFonts w:eastAsia="Calibri" w:cstheme="minorHAnsi"/>
          <w:b/>
          <w:sz w:val="24"/>
          <w:szCs w:val="24"/>
        </w:rPr>
        <w:t xml:space="preserve">Příklad č. </w:t>
      </w:r>
      <w:r w:rsidR="00E741C1">
        <w:rPr>
          <w:rFonts w:eastAsia="Calibri" w:cstheme="minorHAnsi"/>
          <w:b/>
          <w:sz w:val="24"/>
          <w:szCs w:val="24"/>
        </w:rPr>
        <w:t>2</w:t>
      </w:r>
      <w:r w:rsidRPr="00052107">
        <w:rPr>
          <w:rFonts w:eastAsia="Calibri" w:cstheme="minorHAnsi"/>
          <w:b/>
          <w:sz w:val="24"/>
          <w:szCs w:val="24"/>
        </w:rPr>
        <w:t xml:space="preserve">: </w:t>
      </w:r>
      <w:r w:rsidR="0056656A" w:rsidRPr="00052107">
        <w:rPr>
          <w:rFonts w:eastAsia="Calibri" w:cstheme="minorHAnsi"/>
          <w:b/>
          <w:sz w:val="24"/>
          <w:szCs w:val="24"/>
        </w:rPr>
        <w:t>Provoz váhy pro VKV na dálnici D48 v květnu 2024</w:t>
      </w:r>
    </w:p>
    <w:p w14:paraId="1BDCBA87" w14:textId="77777777" w:rsidR="0056656A" w:rsidRPr="0056656A" w:rsidRDefault="0056656A" w:rsidP="003C203E">
      <w:pPr>
        <w:spacing w:after="0" w:line="252" w:lineRule="auto"/>
        <w:contextualSpacing/>
        <w:rPr>
          <w:rFonts w:eastAsia="Calibri" w:cstheme="minorHAnsi"/>
          <w:b/>
          <w:sz w:val="6"/>
          <w:szCs w:val="6"/>
        </w:rPr>
      </w:pPr>
    </w:p>
    <w:p w14:paraId="7DEC817D" w14:textId="0AB92F55" w:rsidR="003C203E" w:rsidRDefault="003C203E"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 xml:space="preserve">Váha pro VKV na dálnici D48 (ORP Frýdek-Místek) zjišťovala a dokumentovala vážní delikty v „ostrém režimu“ </w:t>
      </w:r>
      <w:r w:rsidR="00E730D3">
        <w:rPr>
          <w:rFonts w:cstheme="minorHAnsi"/>
          <w:sz w:val="24"/>
          <w:szCs w:val="24"/>
        </w:rPr>
        <w:t xml:space="preserve">po dobu </w:t>
      </w:r>
      <w:r>
        <w:rPr>
          <w:rFonts w:cstheme="minorHAnsi"/>
          <w:sz w:val="24"/>
          <w:szCs w:val="24"/>
        </w:rPr>
        <w:t xml:space="preserve">jen 20,79 % </w:t>
      </w:r>
      <w:r w:rsidR="00E730D3">
        <w:rPr>
          <w:rFonts w:cstheme="minorHAnsi"/>
          <w:sz w:val="24"/>
          <w:szCs w:val="24"/>
        </w:rPr>
        <w:t xml:space="preserve">časového fondu </w:t>
      </w:r>
      <w:r>
        <w:rPr>
          <w:rFonts w:cstheme="minorHAnsi"/>
          <w:sz w:val="24"/>
          <w:szCs w:val="24"/>
        </w:rPr>
        <w:t xml:space="preserve">měsíce května 2024. Po zbylých </w:t>
      </w:r>
      <w:r w:rsidR="00312C05">
        <w:rPr>
          <w:rFonts w:cstheme="minorHAnsi"/>
          <w:sz w:val="24"/>
          <w:szCs w:val="24"/>
        </w:rPr>
        <w:br/>
      </w:r>
      <w:r w:rsidR="0056656A">
        <w:rPr>
          <w:rFonts w:cstheme="minorHAnsi"/>
          <w:sz w:val="24"/>
          <w:szCs w:val="24"/>
        </w:rPr>
        <w:t>79,21</w:t>
      </w:r>
      <w:r w:rsidR="00312C05">
        <w:rPr>
          <w:rFonts w:cstheme="minorHAnsi"/>
          <w:sz w:val="24"/>
          <w:szCs w:val="24"/>
        </w:rPr>
        <w:t xml:space="preserve"> </w:t>
      </w:r>
      <w:r w:rsidR="0056656A">
        <w:rPr>
          <w:rFonts w:cstheme="minorHAnsi"/>
          <w:sz w:val="24"/>
          <w:szCs w:val="24"/>
        </w:rPr>
        <w:t>% doby byla přepnuta do „indikativního režimu“. Výsledných 250 vážních deliktů předaných ORP přitom představuje jen 7,81 % z celkových 3 201 vážních deliktů zachycených touto váhou v květnu 2024.</w:t>
      </w:r>
      <w:r w:rsidR="00803BCF">
        <w:rPr>
          <w:rFonts w:cstheme="minorHAnsi"/>
          <w:sz w:val="24"/>
          <w:szCs w:val="24"/>
        </w:rPr>
        <w:t xml:space="preserve"> </w:t>
      </w:r>
      <w:r w:rsidR="00803BCF" w:rsidRPr="001209FF">
        <w:rPr>
          <w:rFonts w:cstheme="minorHAnsi"/>
          <w:sz w:val="24"/>
          <w:szCs w:val="24"/>
        </w:rPr>
        <w:t xml:space="preserve">Zbylých </w:t>
      </w:r>
      <w:r w:rsidR="00803BCF">
        <w:rPr>
          <w:rFonts w:cstheme="minorHAnsi"/>
          <w:sz w:val="24"/>
          <w:szCs w:val="24"/>
        </w:rPr>
        <w:t>2 951</w:t>
      </w:r>
      <w:r w:rsidR="00803BCF" w:rsidRPr="001209FF">
        <w:rPr>
          <w:rFonts w:cstheme="minorHAnsi"/>
          <w:sz w:val="24"/>
          <w:szCs w:val="24"/>
        </w:rPr>
        <w:t xml:space="preserve"> vážních deliktů nebylo vůbec řešeno.</w:t>
      </w:r>
    </w:p>
    <w:p w14:paraId="75309E4E" w14:textId="77777777" w:rsidR="003C203E" w:rsidRDefault="003C203E" w:rsidP="006C70DF">
      <w:pPr>
        <w:spacing w:after="0" w:line="252" w:lineRule="auto"/>
        <w:contextualSpacing/>
        <w:jc w:val="both"/>
        <w:rPr>
          <w:rFonts w:cstheme="minorHAnsi"/>
          <w:sz w:val="24"/>
          <w:szCs w:val="24"/>
        </w:rPr>
      </w:pPr>
    </w:p>
    <w:p w14:paraId="653606F4" w14:textId="25169DFD" w:rsidR="00626944" w:rsidRPr="004459F3" w:rsidRDefault="00280011" w:rsidP="0097197F">
      <w:pPr>
        <w:spacing w:after="0" w:line="252" w:lineRule="auto"/>
        <w:contextualSpacing/>
        <w:jc w:val="both"/>
        <w:rPr>
          <w:rFonts w:cstheme="minorHAnsi"/>
          <w:b/>
          <w:i/>
          <w:color w:val="4472C4" w:themeColor="accent5"/>
          <w:sz w:val="24"/>
          <w:szCs w:val="24"/>
        </w:rPr>
      </w:pPr>
      <w:r w:rsidRPr="004459F3">
        <w:rPr>
          <w:rFonts w:cstheme="minorHAnsi"/>
          <w:b/>
          <w:i/>
          <w:color w:val="4472C4" w:themeColor="accent5"/>
          <w:sz w:val="24"/>
          <w:szCs w:val="24"/>
        </w:rPr>
        <w:t>... a umožnilo jízdu vozidel poškozujících dopravní infrastrukturu</w:t>
      </w:r>
      <w:r w:rsidR="00FA3CE8" w:rsidRPr="004459F3">
        <w:rPr>
          <w:rFonts w:cstheme="minorHAnsi"/>
          <w:b/>
          <w:i/>
          <w:color w:val="4472C4" w:themeColor="accent5"/>
          <w:sz w:val="24"/>
          <w:szCs w:val="24"/>
        </w:rPr>
        <w:t xml:space="preserve"> bez jakéhokoliv postihu</w:t>
      </w:r>
      <w:r w:rsidR="0036123D" w:rsidRPr="004459F3">
        <w:rPr>
          <w:rFonts w:cstheme="minorHAnsi"/>
          <w:b/>
          <w:i/>
          <w:color w:val="4472C4" w:themeColor="accent5"/>
          <w:sz w:val="24"/>
          <w:szCs w:val="24"/>
        </w:rPr>
        <w:t>.</w:t>
      </w:r>
    </w:p>
    <w:p w14:paraId="64B598C7" w14:textId="77777777" w:rsidR="00280011" w:rsidRDefault="00280011" w:rsidP="0097197F">
      <w:pPr>
        <w:spacing w:after="0" w:line="252" w:lineRule="auto"/>
        <w:contextualSpacing/>
        <w:jc w:val="both"/>
        <w:rPr>
          <w:rFonts w:cstheme="minorHAnsi"/>
          <w:sz w:val="24"/>
          <w:szCs w:val="24"/>
        </w:rPr>
      </w:pPr>
    </w:p>
    <w:p w14:paraId="25B2F7D7" w14:textId="2571EC3B" w:rsidR="00D351D7" w:rsidRPr="00626944" w:rsidRDefault="006537DB" w:rsidP="0097197F">
      <w:pPr>
        <w:spacing w:after="0"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33 </w:t>
      </w:r>
      <w:r w:rsidR="00FA3CE8">
        <w:rPr>
          <w:rFonts w:cstheme="minorHAnsi"/>
          <w:sz w:val="24"/>
          <w:szCs w:val="24"/>
        </w:rPr>
        <w:t>Z</w:t>
      </w:r>
      <w:r w:rsidR="00626944">
        <w:rPr>
          <w:rFonts w:cstheme="minorHAnsi"/>
          <w:sz w:val="24"/>
          <w:szCs w:val="24"/>
        </w:rPr>
        <w:t>měn</w:t>
      </w:r>
      <w:r w:rsidR="00FA3CE8">
        <w:rPr>
          <w:rFonts w:cstheme="minorHAnsi"/>
          <w:sz w:val="24"/>
          <w:szCs w:val="24"/>
        </w:rPr>
        <w:t>ou</w:t>
      </w:r>
      <w:r w:rsidR="00626944">
        <w:rPr>
          <w:rFonts w:cstheme="minorHAnsi"/>
          <w:sz w:val="24"/>
          <w:szCs w:val="24"/>
        </w:rPr>
        <w:t xml:space="preserve"> </w:t>
      </w:r>
      <w:r w:rsidR="00D351D7" w:rsidRPr="00626944">
        <w:rPr>
          <w:rFonts w:cstheme="minorHAnsi"/>
          <w:sz w:val="24"/>
          <w:szCs w:val="24"/>
        </w:rPr>
        <w:t>ustanovení § 51c odst. 1 písm. a) a b) vyhlášky č. 104/1997 Sb.</w:t>
      </w:r>
      <w:r w:rsidR="00626944" w:rsidRPr="00626944">
        <w:rPr>
          <w:rFonts w:cstheme="minorHAnsi"/>
          <w:sz w:val="24"/>
          <w:szCs w:val="24"/>
        </w:rPr>
        <w:t xml:space="preserve"> </w:t>
      </w:r>
      <w:r w:rsidR="005B41A4">
        <w:rPr>
          <w:rFonts w:cstheme="minorHAnsi"/>
          <w:sz w:val="24"/>
          <w:szCs w:val="24"/>
        </w:rPr>
        <w:t xml:space="preserve">MD </w:t>
      </w:r>
      <w:r w:rsidR="00D351D7" w:rsidRPr="00626944">
        <w:rPr>
          <w:rFonts w:cstheme="minorHAnsi"/>
          <w:sz w:val="24"/>
          <w:szCs w:val="24"/>
        </w:rPr>
        <w:t>s účinností od 1. 7. 2024</w:t>
      </w:r>
      <w:r w:rsidR="00626944" w:rsidRPr="00626944">
        <w:rPr>
          <w:rFonts w:cstheme="minorHAnsi"/>
          <w:sz w:val="24"/>
          <w:szCs w:val="24"/>
        </w:rPr>
        <w:t xml:space="preserve"> zrušilo </w:t>
      </w:r>
      <w:r w:rsidR="00626944">
        <w:rPr>
          <w:rFonts w:cstheme="minorHAnsi"/>
          <w:sz w:val="24"/>
          <w:szCs w:val="24"/>
        </w:rPr>
        <w:t>postih při přetížení náprav vozidla a umožnilo při VKV postihovat pouze překročení celkové hmotnosti vozidla nebo jízdní soupravy.</w:t>
      </w:r>
      <w:r w:rsidR="00E52429">
        <w:rPr>
          <w:rFonts w:cstheme="minorHAnsi"/>
          <w:sz w:val="24"/>
          <w:szCs w:val="24"/>
        </w:rPr>
        <w:t xml:space="preserve"> Cílem této úpravy bylo </w:t>
      </w:r>
      <w:r w:rsidR="005B41A4">
        <w:rPr>
          <w:rFonts w:cstheme="minorHAnsi"/>
          <w:sz w:val="24"/>
          <w:szCs w:val="24"/>
        </w:rPr>
        <w:t xml:space="preserve">podle MD </w:t>
      </w:r>
      <w:r w:rsidR="00E52429">
        <w:rPr>
          <w:rFonts w:cstheme="minorHAnsi"/>
          <w:sz w:val="24"/>
          <w:szCs w:val="24"/>
        </w:rPr>
        <w:t xml:space="preserve">odstranění diskriminace </w:t>
      </w:r>
      <w:r w:rsidR="005B41A4">
        <w:rPr>
          <w:rFonts w:cstheme="minorHAnsi"/>
          <w:sz w:val="24"/>
          <w:szCs w:val="24"/>
        </w:rPr>
        <w:t xml:space="preserve">provozovatelů a řidičů </w:t>
      </w:r>
      <w:r w:rsidR="00E52429">
        <w:rPr>
          <w:rFonts w:cstheme="minorHAnsi"/>
          <w:sz w:val="24"/>
          <w:szCs w:val="24"/>
        </w:rPr>
        <w:t>vozidel registrovaných v</w:t>
      </w:r>
      <w:r w:rsidR="003F1DE9">
        <w:rPr>
          <w:rFonts w:cstheme="minorHAnsi"/>
          <w:sz w:val="24"/>
          <w:szCs w:val="24"/>
        </w:rPr>
        <w:t xml:space="preserve"> </w:t>
      </w:r>
      <w:r w:rsidR="00E52429">
        <w:rPr>
          <w:rFonts w:cstheme="minorHAnsi"/>
          <w:sz w:val="24"/>
          <w:szCs w:val="24"/>
        </w:rPr>
        <w:t xml:space="preserve">České republice oproti </w:t>
      </w:r>
      <w:r w:rsidR="00E52429">
        <w:rPr>
          <w:rFonts w:cstheme="minorHAnsi"/>
          <w:sz w:val="24"/>
          <w:szCs w:val="24"/>
        </w:rPr>
        <w:lastRenderedPageBreak/>
        <w:t xml:space="preserve">vozidlům se zahraniční registrací, u kterých nebyly </w:t>
      </w:r>
      <w:r w:rsidR="0036123D">
        <w:rPr>
          <w:rFonts w:cstheme="minorHAnsi"/>
          <w:sz w:val="24"/>
          <w:szCs w:val="24"/>
        </w:rPr>
        <w:t xml:space="preserve">dostupné </w:t>
      </w:r>
      <w:r w:rsidR="005B41A4">
        <w:rPr>
          <w:rFonts w:cstheme="minorHAnsi"/>
          <w:sz w:val="24"/>
          <w:szCs w:val="24"/>
        </w:rPr>
        <w:t>některé</w:t>
      </w:r>
      <w:r w:rsidR="00E52429">
        <w:rPr>
          <w:rFonts w:cstheme="minorHAnsi"/>
          <w:sz w:val="24"/>
          <w:szCs w:val="24"/>
        </w:rPr>
        <w:t xml:space="preserve"> údaje potřebné pro řešení vážních deliktů v přestupkovém řízení</w:t>
      </w:r>
      <w:r w:rsidR="009126B5">
        <w:rPr>
          <w:rFonts w:cstheme="minorHAnsi"/>
          <w:sz w:val="24"/>
          <w:szCs w:val="24"/>
        </w:rPr>
        <w:t>.</w:t>
      </w:r>
      <w:r w:rsidR="00160D58">
        <w:rPr>
          <w:rStyle w:val="Znakapoznpodarou"/>
          <w:rFonts w:cstheme="minorHAnsi"/>
          <w:sz w:val="24"/>
          <w:szCs w:val="24"/>
        </w:rPr>
        <w:footnoteReference w:id="31"/>
      </w:r>
      <w:r w:rsidR="00E52429">
        <w:rPr>
          <w:rFonts w:cstheme="minorHAnsi"/>
          <w:sz w:val="24"/>
          <w:szCs w:val="24"/>
        </w:rPr>
        <w:t xml:space="preserve"> </w:t>
      </w:r>
    </w:p>
    <w:p w14:paraId="5DDABC02" w14:textId="77777777" w:rsidR="00FB0D64" w:rsidRDefault="00FB0D64" w:rsidP="00D0763B">
      <w:pPr>
        <w:spacing w:after="0" w:line="252" w:lineRule="auto"/>
        <w:contextualSpacing/>
        <w:jc w:val="both"/>
        <w:rPr>
          <w:rFonts w:eastAsia="Calibri" w:cstheme="minorHAnsi"/>
          <w:sz w:val="24"/>
          <w:szCs w:val="24"/>
        </w:rPr>
      </w:pPr>
    </w:p>
    <w:p w14:paraId="2B6B8ED1" w14:textId="17CDE95C" w:rsidR="001F7B07" w:rsidRDefault="006537DB" w:rsidP="001F7B07">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34 </w:t>
      </w:r>
      <w:r w:rsidR="00F16EBB">
        <w:rPr>
          <w:rFonts w:cstheme="minorHAnsi"/>
          <w:sz w:val="24"/>
          <w:szCs w:val="24"/>
        </w:rPr>
        <w:t xml:space="preserve">Výsledkem </w:t>
      </w:r>
      <w:r w:rsidR="009126B5">
        <w:rPr>
          <w:rFonts w:cstheme="minorHAnsi"/>
          <w:sz w:val="24"/>
          <w:szCs w:val="24"/>
        </w:rPr>
        <w:t>této změny</w:t>
      </w:r>
      <w:r w:rsidR="00DA643F">
        <w:rPr>
          <w:rFonts w:cstheme="minorHAnsi"/>
          <w:sz w:val="24"/>
          <w:szCs w:val="24"/>
        </w:rPr>
        <w:t xml:space="preserve"> ovšem </w:t>
      </w:r>
      <w:r w:rsidR="00F16EBB">
        <w:rPr>
          <w:rFonts w:cstheme="minorHAnsi"/>
          <w:sz w:val="24"/>
          <w:szCs w:val="24"/>
        </w:rPr>
        <w:t xml:space="preserve">je, že od </w:t>
      </w:r>
      <w:r w:rsidR="00BE69A4">
        <w:rPr>
          <w:rFonts w:cstheme="minorHAnsi"/>
          <w:sz w:val="24"/>
          <w:szCs w:val="24"/>
        </w:rPr>
        <w:t>července</w:t>
      </w:r>
      <w:r w:rsidR="00F16EBB">
        <w:rPr>
          <w:rFonts w:cstheme="minorHAnsi"/>
          <w:sz w:val="24"/>
          <w:szCs w:val="24"/>
        </w:rPr>
        <w:t xml:space="preserve"> 2024 nejsou při VKV postihována žádná vozidla s</w:t>
      </w:r>
      <w:r w:rsidR="00312C05">
        <w:rPr>
          <w:rFonts w:cstheme="minorHAnsi"/>
          <w:sz w:val="24"/>
          <w:szCs w:val="24"/>
        </w:rPr>
        <w:t xml:space="preserve"> </w:t>
      </w:r>
      <w:r w:rsidR="00F16EBB">
        <w:rPr>
          <w:rFonts w:cstheme="minorHAnsi"/>
          <w:sz w:val="24"/>
          <w:szCs w:val="24"/>
        </w:rPr>
        <w:t>přetíženými nápravami,</w:t>
      </w:r>
      <w:r w:rsidR="00F16EBB" w:rsidRPr="005B41A4">
        <w:rPr>
          <w:rFonts w:cstheme="minorHAnsi"/>
          <w:sz w:val="24"/>
          <w:szCs w:val="24"/>
        </w:rPr>
        <w:t xml:space="preserve"> </w:t>
      </w:r>
      <w:r w:rsidR="00F16EBB">
        <w:rPr>
          <w:rFonts w:cstheme="minorHAnsi"/>
          <w:sz w:val="24"/>
          <w:szCs w:val="24"/>
        </w:rPr>
        <w:t>nepřekročí-li jejich celková hmotnost stanovený limit</w:t>
      </w:r>
      <w:r w:rsidR="00FE38FA">
        <w:rPr>
          <w:rFonts w:cstheme="minorHAnsi"/>
          <w:sz w:val="24"/>
          <w:szCs w:val="24"/>
        </w:rPr>
        <w:t xml:space="preserve">. Destrukční účinek jízd těchto vozidel na vozovku přitom může být velmi </w:t>
      </w:r>
      <w:r w:rsidR="00F070D5">
        <w:rPr>
          <w:rFonts w:cstheme="minorHAnsi"/>
          <w:sz w:val="24"/>
          <w:szCs w:val="24"/>
        </w:rPr>
        <w:t>vysoký</w:t>
      </w:r>
      <w:r w:rsidR="00FE38FA">
        <w:rPr>
          <w:rFonts w:cstheme="minorHAnsi"/>
          <w:sz w:val="24"/>
          <w:szCs w:val="24"/>
        </w:rPr>
        <w:t>.</w:t>
      </w:r>
      <w:r w:rsidR="00F16EBB">
        <w:rPr>
          <w:rFonts w:cstheme="minorHAnsi"/>
          <w:sz w:val="24"/>
          <w:szCs w:val="24"/>
        </w:rPr>
        <w:t xml:space="preserve"> </w:t>
      </w:r>
      <w:r w:rsidR="001F7B07">
        <w:rPr>
          <w:rFonts w:cstheme="minorHAnsi"/>
          <w:sz w:val="24"/>
          <w:szCs w:val="24"/>
        </w:rPr>
        <w:t xml:space="preserve">Z informací </w:t>
      </w:r>
      <w:r w:rsidR="009126B5">
        <w:rPr>
          <w:rFonts w:cstheme="minorHAnsi"/>
          <w:sz w:val="24"/>
          <w:szCs w:val="24"/>
        </w:rPr>
        <w:t>ŘSD (viz citát v rámečku)</w:t>
      </w:r>
      <w:r w:rsidR="00DA643F">
        <w:rPr>
          <w:rFonts w:cstheme="minorHAnsi"/>
          <w:sz w:val="24"/>
          <w:szCs w:val="24"/>
        </w:rPr>
        <w:t xml:space="preserve"> </w:t>
      </w:r>
      <w:r w:rsidR="001F7B07">
        <w:rPr>
          <w:rFonts w:cstheme="minorHAnsi"/>
          <w:sz w:val="24"/>
          <w:szCs w:val="24"/>
        </w:rPr>
        <w:t>i z koncepčních a dalších dokumentů resortu dopravy vyplývá, že na životnost</w:t>
      </w:r>
      <w:r w:rsidR="00DA643F">
        <w:rPr>
          <w:rFonts w:cstheme="minorHAnsi"/>
          <w:sz w:val="24"/>
          <w:szCs w:val="24"/>
        </w:rPr>
        <w:t xml:space="preserve"> </w:t>
      </w:r>
      <w:r w:rsidR="001F7B07">
        <w:rPr>
          <w:rFonts w:cstheme="minorHAnsi"/>
          <w:sz w:val="24"/>
          <w:szCs w:val="24"/>
        </w:rPr>
        <w:t>a poškozování vozovek (a potažmo na zvýšení nákladů na jejich údržbu a opravy) má zásadní vliv právě zatížení náprav vozidla</w:t>
      </w:r>
      <w:r w:rsidR="00C76193">
        <w:rPr>
          <w:rFonts w:eastAsia="Calibri" w:cstheme="minorHAnsi"/>
          <w:sz w:val="24"/>
          <w:szCs w:val="24"/>
        </w:rPr>
        <w:t xml:space="preserve">. </w:t>
      </w:r>
      <w:r w:rsidR="001F7B07">
        <w:rPr>
          <w:rFonts w:eastAsia="Calibri" w:cstheme="minorHAnsi"/>
          <w:sz w:val="24"/>
          <w:szCs w:val="24"/>
        </w:rPr>
        <w:t xml:space="preserve">MD </w:t>
      </w:r>
      <w:r w:rsidR="00C76193">
        <w:rPr>
          <w:rFonts w:eastAsia="Calibri" w:cstheme="minorHAnsi"/>
          <w:sz w:val="24"/>
          <w:szCs w:val="24"/>
        </w:rPr>
        <w:t xml:space="preserve">to potvrdilo </w:t>
      </w:r>
      <w:r w:rsidR="001F7B07">
        <w:rPr>
          <w:rFonts w:eastAsia="Calibri" w:cstheme="minorHAnsi"/>
          <w:sz w:val="24"/>
          <w:szCs w:val="24"/>
        </w:rPr>
        <w:t>např. v</w:t>
      </w:r>
      <w:r w:rsidR="00312C05">
        <w:rPr>
          <w:rFonts w:eastAsia="Calibri" w:cstheme="minorHAnsi"/>
          <w:sz w:val="24"/>
          <w:szCs w:val="24"/>
        </w:rPr>
        <w:t xml:space="preserve"> </w:t>
      </w:r>
      <w:r w:rsidR="001F7B07">
        <w:rPr>
          <w:rFonts w:eastAsia="Calibri" w:cstheme="minorHAnsi"/>
          <w:sz w:val="24"/>
          <w:szCs w:val="24"/>
        </w:rPr>
        <w:t>rámci prezentace pro veřejné slyšení v Senátu Parlamentu ČR (viz rámeček níže)</w:t>
      </w:r>
      <w:r w:rsidR="001F7B07">
        <w:rPr>
          <w:rFonts w:cstheme="minorHAnsi"/>
          <w:sz w:val="24"/>
          <w:szCs w:val="24"/>
        </w:rPr>
        <w:t>.</w:t>
      </w:r>
    </w:p>
    <w:p w14:paraId="5852A597" w14:textId="77777777" w:rsidR="005F782B" w:rsidRDefault="005F782B" w:rsidP="001F7B07">
      <w:pPr>
        <w:spacing w:after="0" w:line="252" w:lineRule="auto"/>
        <w:contextualSpacing/>
        <w:jc w:val="both"/>
        <w:rPr>
          <w:rFonts w:cstheme="minorHAnsi"/>
          <w:sz w:val="24"/>
          <w:szCs w:val="24"/>
        </w:rPr>
      </w:pPr>
    </w:p>
    <w:p w14:paraId="75A77E80" w14:textId="034E6322" w:rsidR="005F782B" w:rsidRDefault="005F782B"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i/>
          <w:sz w:val="24"/>
          <w:szCs w:val="24"/>
        </w:rPr>
      </w:pPr>
      <w:r>
        <w:rPr>
          <w:rFonts w:cstheme="minorHAnsi"/>
          <w:sz w:val="24"/>
          <w:szCs w:val="24"/>
        </w:rPr>
        <w:t>Z odpovědi ŘSD</w:t>
      </w:r>
      <w:r w:rsidRPr="00B75580">
        <w:rPr>
          <w:rFonts w:cstheme="minorHAnsi"/>
          <w:sz w:val="24"/>
          <w:szCs w:val="24"/>
        </w:rPr>
        <w:t xml:space="preserve"> </w:t>
      </w:r>
      <w:r>
        <w:rPr>
          <w:rFonts w:cstheme="minorHAnsi"/>
          <w:sz w:val="24"/>
          <w:szCs w:val="24"/>
        </w:rPr>
        <w:t xml:space="preserve">na žádost NKÚ o </w:t>
      </w:r>
      <w:r w:rsidR="00940ABB">
        <w:rPr>
          <w:rFonts w:cstheme="minorHAnsi"/>
          <w:sz w:val="24"/>
          <w:szCs w:val="24"/>
        </w:rPr>
        <w:t xml:space="preserve">poskytnutí </w:t>
      </w:r>
      <w:r>
        <w:rPr>
          <w:rFonts w:cstheme="minorHAnsi"/>
          <w:sz w:val="24"/>
          <w:szCs w:val="24"/>
        </w:rPr>
        <w:t>informace</w:t>
      </w:r>
      <w:r w:rsidRPr="00B75580">
        <w:rPr>
          <w:rFonts w:cstheme="minorHAnsi"/>
          <w:sz w:val="24"/>
          <w:szCs w:val="24"/>
        </w:rPr>
        <w:t xml:space="preserve">: </w:t>
      </w:r>
      <w:r>
        <w:rPr>
          <w:rFonts w:cstheme="minorHAnsi"/>
          <w:sz w:val="24"/>
          <w:szCs w:val="24"/>
        </w:rPr>
        <w:t>„</w:t>
      </w:r>
      <w:r w:rsidRPr="005F782B">
        <w:rPr>
          <w:rFonts w:eastAsia="Calibri" w:cstheme="minorHAnsi"/>
          <w:i/>
          <w:sz w:val="24"/>
          <w:szCs w:val="24"/>
        </w:rPr>
        <w:t xml:space="preserve">V ČR se vozovky navrhují na životnost 25 let </w:t>
      </w:r>
      <w:r>
        <w:rPr>
          <w:rFonts w:eastAsia="Calibri" w:cstheme="minorHAnsi"/>
          <w:i/>
          <w:sz w:val="24"/>
          <w:szCs w:val="24"/>
        </w:rPr>
        <w:t>...</w:t>
      </w:r>
      <w:r w:rsidRPr="005F782B">
        <w:rPr>
          <w:rFonts w:eastAsia="Calibri" w:cstheme="minorHAnsi"/>
          <w:i/>
          <w:sz w:val="24"/>
          <w:szCs w:val="24"/>
        </w:rPr>
        <w:t xml:space="preserve"> Je to doba, po kterou je vozovka schopna při daném dopravním zatížení za předpokladu řádné údržby zajistit požadovanou únosnost. Jakou hmotnost vozidel „mají udržet“</w:t>
      </w:r>
      <w:r w:rsidR="00F070D5">
        <w:rPr>
          <w:rFonts w:eastAsia="Calibri" w:cstheme="minorHAnsi"/>
          <w:i/>
          <w:sz w:val="24"/>
          <w:szCs w:val="24"/>
        </w:rPr>
        <w:t>,</w:t>
      </w:r>
      <w:r w:rsidRPr="005F782B">
        <w:rPr>
          <w:rFonts w:eastAsia="Calibri" w:cstheme="minorHAnsi"/>
          <w:i/>
          <w:sz w:val="24"/>
          <w:szCs w:val="24"/>
        </w:rPr>
        <w:t xml:space="preserve"> není dáno hmotností vozidla, ale maximální hmotnost</w:t>
      </w:r>
      <w:r w:rsidR="004018C0">
        <w:rPr>
          <w:rFonts w:eastAsia="Calibri" w:cstheme="minorHAnsi"/>
          <w:i/>
          <w:sz w:val="24"/>
          <w:szCs w:val="24"/>
        </w:rPr>
        <w:t>í</w:t>
      </w:r>
      <w:r w:rsidRPr="005F782B">
        <w:rPr>
          <w:rFonts w:eastAsia="Calibri" w:cstheme="minorHAnsi"/>
          <w:i/>
          <w:sz w:val="24"/>
          <w:szCs w:val="24"/>
        </w:rPr>
        <w:t xml:space="preserve"> nápravy vozidla </w:t>
      </w:r>
      <w:r>
        <w:rPr>
          <w:rFonts w:eastAsia="Calibri" w:cstheme="minorHAnsi"/>
          <w:i/>
          <w:sz w:val="24"/>
          <w:szCs w:val="24"/>
        </w:rPr>
        <w:t>...</w:t>
      </w:r>
      <w:r w:rsidRPr="004459F3">
        <w:rPr>
          <w:rFonts w:cstheme="minorHAnsi"/>
          <w:iCs/>
          <w:sz w:val="24"/>
          <w:szCs w:val="24"/>
        </w:rPr>
        <w:t xml:space="preserve">“ </w:t>
      </w:r>
    </w:p>
    <w:p w14:paraId="35ACDCE0" w14:textId="77777777" w:rsidR="00A93BA4" w:rsidRPr="00A93BA4" w:rsidRDefault="00A93BA4"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eastAsia="Calibri" w:cstheme="minorHAnsi"/>
          <w:sz w:val="12"/>
          <w:szCs w:val="12"/>
        </w:rPr>
      </w:pPr>
    </w:p>
    <w:p w14:paraId="43A25843" w14:textId="77777777" w:rsidR="00B654EF" w:rsidRDefault="00B654EF" w:rsidP="005F782B">
      <w:pPr>
        <w:spacing w:after="0" w:line="252" w:lineRule="auto"/>
        <w:contextualSpacing/>
        <w:jc w:val="both"/>
        <w:rPr>
          <w:rFonts w:cstheme="minorHAnsi"/>
          <w:sz w:val="24"/>
          <w:szCs w:val="24"/>
        </w:rPr>
      </w:pPr>
    </w:p>
    <w:p w14:paraId="4620E8D7" w14:textId="07F771E8" w:rsidR="007D37FD" w:rsidRPr="00A93BA4" w:rsidRDefault="007D37FD"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sidRPr="00A93BA4">
        <w:rPr>
          <w:rFonts w:cstheme="minorHAnsi"/>
          <w:sz w:val="24"/>
          <w:szCs w:val="24"/>
        </w:rPr>
        <w:t xml:space="preserve">Z prezentace MD pro veřejné slyšení </w:t>
      </w:r>
      <w:r w:rsidR="00F070D5" w:rsidRPr="00A93BA4">
        <w:rPr>
          <w:rFonts w:cstheme="minorHAnsi"/>
          <w:sz w:val="24"/>
          <w:szCs w:val="24"/>
        </w:rPr>
        <w:t xml:space="preserve">konané </w:t>
      </w:r>
      <w:r w:rsidR="00AB0823">
        <w:rPr>
          <w:rFonts w:cstheme="minorHAnsi"/>
          <w:sz w:val="24"/>
          <w:szCs w:val="24"/>
        </w:rPr>
        <w:t xml:space="preserve">v </w:t>
      </w:r>
      <w:r w:rsidRPr="00A93BA4">
        <w:rPr>
          <w:rFonts w:cstheme="minorHAnsi"/>
          <w:sz w:val="24"/>
          <w:szCs w:val="24"/>
        </w:rPr>
        <w:t>Senátu Parlamentu ČR v září 2024: „</w:t>
      </w:r>
      <w:r w:rsidRPr="00A93BA4">
        <w:rPr>
          <w:rFonts w:eastAsia="Calibri" w:cstheme="minorHAnsi"/>
          <w:i/>
          <w:sz w:val="24"/>
          <w:szCs w:val="24"/>
        </w:rPr>
        <w:t xml:space="preserve">Poškození pozemních komunikací způsobují především vyšší hmotnosti přenášené na vozovku jednotlivou nápravou, nikoliv celá váha vozidla. V případě překročení povoleného nápravového tlaku </w:t>
      </w:r>
      <w:r w:rsidR="0036123D">
        <w:rPr>
          <w:rFonts w:eastAsia="Calibri" w:cstheme="minorHAnsi"/>
          <w:i/>
          <w:sz w:val="24"/>
          <w:szCs w:val="24"/>
        </w:rPr>
        <w:br/>
      </w:r>
      <w:r w:rsidRPr="00A93BA4">
        <w:rPr>
          <w:rFonts w:eastAsia="Calibri" w:cstheme="minorHAnsi"/>
          <w:i/>
          <w:sz w:val="24"/>
          <w:szCs w:val="24"/>
        </w:rPr>
        <w:t>11,5 t o 1 t na 12,5 t podle pravidla dojde ke zvýšení míry poškození komunikací až o 40 %. To je následně spojeno také s výrazně vyšším nákladem na údržbu a opravu silniční infrastruktury.</w:t>
      </w:r>
      <w:r>
        <w:rPr>
          <w:rFonts w:eastAsia="Calibri" w:cstheme="minorHAnsi"/>
          <w:sz w:val="24"/>
          <w:szCs w:val="24"/>
        </w:rPr>
        <w:t>“</w:t>
      </w:r>
    </w:p>
    <w:p w14:paraId="77916C86" w14:textId="77777777" w:rsidR="007D37FD" w:rsidRDefault="007D37FD" w:rsidP="005F782B">
      <w:pPr>
        <w:spacing w:after="0" w:line="252" w:lineRule="auto"/>
        <w:contextualSpacing/>
        <w:jc w:val="both"/>
        <w:rPr>
          <w:rFonts w:eastAsia="Calibri" w:cstheme="minorHAnsi"/>
          <w:sz w:val="24"/>
          <w:szCs w:val="24"/>
        </w:rPr>
      </w:pPr>
    </w:p>
    <w:p w14:paraId="20FD4A84" w14:textId="3AD998B0" w:rsidR="000C3D24" w:rsidRPr="00052107" w:rsidRDefault="006537DB" w:rsidP="00EC6BFB">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35 </w:t>
      </w:r>
      <w:r w:rsidR="00EC6BFB">
        <w:rPr>
          <w:rFonts w:eastAsia="Calibri" w:cstheme="minorHAnsi"/>
          <w:sz w:val="24"/>
          <w:szCs w:val="24"/>
        </w:rPr>
        <w:t>Vliv legislativního opatření rušícího postih vozidel s přetíženými nápravami na ochranu dopravní infrastruktury před jejím poškozování</w:t>
      </w:r>
      <w:r w:rsidR="00F070D5">
        <w:rPr>
          <w:rFonts w:eastAsia="Calibri" w:cstheme="minorHAnsi"/>
          <w:sz w:val="24"/>
          <w:szCs w:val="24"/>
        </w:rPr>
        <w:t>m</w:t>
      </w:r>
      <w:r w:rsidR="00EC6BFB">
        <w:rPr>
          <w:rFonts w:eastAsia="Calibri" w:cstheme="minorHAnsi"/>
          <w:sz w:val="24"/>
          <w:szCs w:val="24"/>
        </w:rPr>
        <w:t xml:space="preserve"> </w:t>
      </w:r>
      <w:r w:rsidR="00F070D5">
        <w:rPr>
          <w:rFonts w:eastAsia="Calibri" w:cstheme="minorHAnsi"/>
          <w:sz w:val="24"/>
          <w:szCs w:val="24"/>
        </w:rPr>
        <w:t>Ministerstvo dopravy</w:t>
      </w:r>
      <w:r w:rsidR="00EC6BFB">
        <w:rPr>
          <w:rFonts w:eastAsia="Calibri" w:cstheme="minorHAnsi"/>
          <w:sz w:val="24"/>
          <w:szCs w:val="24"/>
        </w:rPr>
        <w:t xml:space="preserve"> nevyhodnotilo.</w:t>
      </w:r>
      <w:r w:rsidR="00F91E68">
        <w:rPr>
          <w:rFonts w:eastAsia="Calibri" w:cstheme="minorHAnsi"/>
          <w:sz w:val="24"/>
          <w:szCs w:val="24"/>
        </w:rPr>
        <w:t xml:space="preserve"> ŘSD již </w:t>
      </w:r>
      <w:r w:rsidR="003C7B71">
        <w:rPr>
          <w:rFonts w:eastAsia="Calibri" w:cstheme="minorHAnsi"/>
          <w:sz w:val="24"/>
          <w:szCs w:val="24"/>
        </w:rPr>
        <w:t xml:space="preserve">před </w:t>
      </w:r>
      <w:r w:rsidR="00621394">
        <w:rPr>
          <w:rFonts w:eastAsia="Calibri" w:cstheme="minorHAnsi"/>
          <w:sz w:val="24"/>
          <w:szCs w:val="24"/>
        </w:rPr>
        <w:t xml:space="preserve">jeho </w:t>
      </w:r>
      <w:r w:rsidR="003C7B71">
        <w:rPr>
          <w:rFonts w:eastAsia="Calibri" w:cstheme="minorHAnsi"/>
          <w:sz w:val="24"/>
          <w:szCs w:val="24"/>
        </w:rPr>
        <w:t xml:space="preserve">přijetím </w:t>
      </w:r>
      <w:r w:rsidR="003C7B71" w:rsidRPr="00052107">
        <w:rPr>
          <w:rFonts w:eastAsia="Calibri" w:cstheme="minorHAnsi"/>
          <w:sz w:val="24"/>
          <w:szCs w:val="24"/>
        </w:rPr>
        <w:t>upozor</w:t>
      </w:r>
      <w:r w:rsidR="00AB0823" w:rsidRPr="00052107">
        <w:rPr>
          <w:rFonts w:eastAsia="Calibri" w:cstheme="minorHAnsi"/>
          <w:sz w:val="24"/>
          <w:szCs w:val="24"/>
        </w:rPr>
        <w:t>ňovalo</w:t>
      </w:r>
      <w:r w:rsidR="003C7B71" w:rsidRPr="00052107">
        <w:rPr>
          <w:rFonts w:eastAsia="Calibri" w:cstheme="minorHAnsi"/>
          <w:sz w:val="24"/>
          <w:szCs w:val="24"/>
        </w:rPr>
        <w:t xml:space="preserve"> na </w:t>
      </w:r>
      <w:r w:rsidR="0036123D" w:rsidRPr="00052107">
        <w:rPr>
          <w:rFonts w:eastAsia="Calibri" w:cstheme="minorHAnsi"/>
          <w:sz w:val="24"/>
          <w:szCs w:val="24"/>
        </w:rPr>
        <w:t xml:space="preserve">jeho velmi </w:t>
      </w:r>
      <w:r w:rsidR="003C7B71" w:rsidRPr="00052107">
        <w:rPr>
          <w:rFonts w:eastAsia="Calibri" w:cstheme="minorHAnsi"/>
          <w:sz w:val="24"/>
          <w:szCs w:val="24"/>
        </w:rPr>
        <w:t>negativní důsledky</w:t>
      </w:r>
      <w:r w:rsidR="00742A1C" w:rsidRPr="00052107">
        <w:rPr>
          <w:rFonts w:eastAsia="Calibri" w:cstheme="minorHAnsi"/>
          <w:sz w:val="24"/>
          <w:szCs w:val="24"/>
        </w:rPr>
        <w:t xml:space="preserve">. </w:t>
      </w:r>
    </w:p>
    <w:p w14:paraId="30206AEB" w14:textId="77777777" w:rsidR="00EC6BFB" w:rsidRDefault="00EC6BFB" w:rsidP="002C4E3B">
      <w:pPr>
        <w:spacing w:after="0" w:line="252" w:lineRule="auto"/>
        <w:contextualSpacing/>
        <w:rPr>
          <w:rFonts w:eastAsia="Calibri" w:cstheme="minorHAnsi"/>
          <w:sz w:val="24"/>
          <w:szCs w:val="24"/>
        </w:rPr>
      </w:pPr>
    </w:p>
    <w:p w14:paraId="66B27F5A" w14:textId="4B5FCDDC" w:rsidR="00E3243F" w:rsidRPr="00B75580" w:rsidRDefault="00E3243F"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Z</w:t>
      </w:r>
      <w:r w:rsidR="00F070D5">
        <w:rPr>
          <w:rFonts w:cstheme="minorHAnsi"/>
          <w:sz w:val="24"/>
          <w:szCs w:val="24"/>
        </w:rPr>
        <w:t>e stanoviska</w:t>
      </w:r>
      <w:r w:rsidR="00F91E68" w:rsidRPr="00E3243F">
        <w:rPr>
          <w:rFonts w:eastAsia="Calibri" w:cstheme="minorHAnsi"/>
          <w:sz w:val="24"/>
          <w:szCs w:val="24"/>
        </w:rPr>
        <w:t xml:space="preserve"> ŘSD k</w:t>
      </w:r>
      <w:r w:rsidR="00F070D5">
        <w:rPr>
          <w:rFonts w:eastAsia="Calibri" w:cstheme="minorHAnsi"/>
          <w:sz w:val="24"/>
          <w:szCs w:val="24"/>
        </w:rPr>
        <w:t> </w:t>
      </w:r>
      <w:r w:rsidR="00F91E68" w:rsidRPr="00E3243F">
        <w:rPr>
          <w:rFonts w:eastAsia="Calibri" w:cstheme="minorHAnsi"/>
          <w:sz w:val="24"/>
          <w:szCs w:val="24"/>
        </w:rPr>
        <w:t>n</w:t>
      </w:r>
      <w:r w:rsidR="00F070D5">
        <w:rPr>
          <w:rFonts w:eastAsia="Calibri" w:cstheme="minorHAnsi"/>
          <w:sz w:val="24"/>
          <w:szCs w:val="24"/>
        </w:rPr>
        <w:t>avrženým</w:t>
      </w:r>
      <w:r w:rsidR="00F91E68" w:rsidRPr="00E3243F">
        <w:rPr>
          <w:rFonts w:eastAsia="Calibri" w:cstheme="minorHAnsi"/>
          <w:sz w:val="24"/>
          <w:szCs w:val="24"/>
        </w:rPr>
        <w:t xml:space="preserve"> změn</w:t>
      </w:r>
      <w:r w:rsidR="00F070D5">
        <w:rPr>
          <w:rFonts w:eastAsia="Calibri" w:cstheme="minorHAnsi"/>
          <w:sz w:val="24"/>
          <w:szCs w:val="24"/>
        </w:rPr>
        <w:t>ám</w:t>
      </w:r>
      <w:r w:rsidR="00F91E68" w:rsidRPr="00E3243F">
        <w:rPr>
          <w:rFonts w:eastAsia="Calibri" w:cstheme="minorHAnsi"/>
          <w:sz w:val="24"/>
          <w:szCs w:val="24"/>
        </w:rPr>
        <w:t xml:space="preserve"> ustanovení § 51c odst. 1 písm. a) a b) vyhlášky č. 104/1997</w:t>
      </w:r>
      <w:r w:rsidR="00F070D5">
        <w:rPr>
          <w:rFonts w:eastAsia="Calibri" w:cstheme="minorHAnsi"/>
          <w:sz w:val="24"/>
          <w:szCs w:val="24"/>
        </w:rPr>
        <w:t> </w:t>
      </w:r>
      <w:r w:rsidR="00F91E68" w:rsidRPr="00E3243F">
        <w:rPr>
          <w:rFonts w:eastAsia="Calibri" w:cstheme="minorHAnsi"/>
          <w:sz w:val="24"/>
          <w:szCs w:val="24"/>
        </w:rPr>
        <w:t>Sb., j</w:t>
      </w:r>
      <w:r w:rsidR="00F070D5">
        <w:rPr>
          <w:rFonts w:eastAsia="Calibri" w:cstheme="minorHAnsi"/>
          <w:sz w:val="24"/>
          <w:szCs w:val="24"/>
        </w:rPr>
        <w:t>imiž</w:t>
      </w:r>
      <w:r w:rsidR="00F91E68" w:rsidRPr="00E3243F">
        <w:rPr>
          <w:rFonts w:eastAsia="Calibri" w:cstheme="minorHAnsi"/>
          <w:sz w:val="24"/>
          <w:szCs w:val="24"/>
        </w:rPr>
        <w:t xml:space="preserve"> se při VKV ruší </w:t>
      </w:r>
      <w:r w:rsidR="00F91E68">
        <w:rPr>
          <w:rFonts w:eastAsia="Calibri" w:cstheme="minorHAnsi"/>
          <w:sz w:val="24"/>
          <w:szCs w:val="24"/>
        </w:rPr>
        <w:t>postih vozidel s</w:t>
      </w:r>
      <w:r w:rsidR="00F070D5">
        <w:rPr>
          <w:rFonts w:eastAsia="Calibri" w:cstheme="minorHAnsi"/>
          <w:sz w:val="24"/>
          <w:szCs w:val="24"/>
        </w:rPr>
        <w:t xml:space="preserve"> </w:t>
      </w:r>
      <w:r w:rsidR="00F91E68">
        <w:rPr>
          <w:rFonts w:eastAsia="Calibri" w:cstheme="minorHAnsi"/>
          <w:sz w:val="24"/>
          <w:szCs w:val="24"/>
        </w:rPr>
        <w:t>přetížen</w:t>
      </w:r>
      <w:r w:rsidR="00F070D5">
        <w:rPr>
          <w:rFonts w:eastAsia="Calibri" w:cstheme="minorHAnsi"/>
          <w:sz w:val="24"/>
          <w:szCs w:val="24"/>
        </w:rPr>
        <w:t>ými</w:t>
      </w:r>
      <w:r w:rsidR="00F91E68">
        <w:rPr>
          <w:rFonts w:eastAsia="Calibri" w:cstheme="minorHAnsi"/>
          <w:sz w:val="24"/>
          <w:szCs w:val="24"/>
        </w:rPr>
        <w:t xml:space="preserve"> náprav</w:t>
      </w:r>
      <w:r w:rsidR="00F070D5">
        <w:rPr>
          <w:rFonts w:eastAsia="Calibri" w:cstheme="minorHAnsi"/>
          <w:sz w:val="24"/>
          <w:szCs w:val="24"/>
        </w:rPr>
        <w:t>ami</w:t>
      </w:r>
      <w:r w:rsidR="00F91E68">
        <w:rPr>
          <w:rFonts w:eastAsia="Calibri" w:cstheme="minorHAnsi"/>
          <w:sz w:val="24"/>
          <w:szCs w:val="24"/>
        </w:rPr>
        <w:t>: „</w:t>
      </w:r>
      <w:r w:rsidR="00F91E68" w:rsidRPr="00F91E68">
        <w:rPr>
          <w:rFonts w:eastAsia="Calibri" w:cstheme="minorHAnsi"/>
          <w:i/>
          <w:sz w:val="24"/>
          <w:szCs w:val="24"/>
        </w:rPr>
        <w:t>Počet detekovaných přestupků se sníží o jeden řád (posuzováno ke stavu s tolerancemi 7/15 %). Zásadně poklesne objem předepsaných pokut, bude třeba opět přepracovat podobu veškeré dokumentace úpravou vyhodnocovacího i zpracovatelského SW. Bude zcela popřen stěžejní parametr, tedy nápravová hmotnost, jehož kontrola má zásadní význam v účinné ochraně stavu komunikací</w:t>
      </w:r>
      <w:r w:rsidRPr="00F91E68">
        <w:rPr>
          <w:rFonts w:eastAsia="Calibri" w:cstheme="minorHAnsi"/>
          <w:i/>
          <w:sz w:val="24"/>
          <w:szCs w:val="24"/>
        </w:rPr>
        <w:t>.</w:t>
      </w:r>
      <w:r w:rsidRPr="004459F3">
        <w:rPr>
          <w:rFonts w:cstheme="minorHAnsi"/>
          <w:iCs/>
          <w:sz w:val="24"/>
          <w:szCs w:val="24"/>
        </w:rPr>
        <w:t>“</w:t>
      </w:r>
      <w:r>
        <w:rPr>
          <w:rFonts w:cstheme="minorHAnsi"/>
          <w:i/>
          <w:sz w:val="24"/>
          <w:szCs w:val="24"/>
        </w:rPr>
        <w:t xml:space="preserve"> </w:t>
      </w:r>
    </w:p>
    <w:p w14:paraId="68CC928F" w14:textId="77777777" w:rsidR="00E3243F" w:rsidRDefault="00E3243F" w:rsidP="00E3243F">
      <w:pPr>
        <w:spacing w:after="0" w:line="252" w:lineRule="auto"/>
        <w:contextualSpacing/>
        <w:jc w:val="both"/>
        <w:rPr>
          <w:rFonts w:eastAsia="Calibri" w:cstheme="minorHAnsi"/>
          <w:sz w:val="24"/>
          <w:szCs w:val="24"/>
        </w:rPr>
      </w:pPr>
    </w:p>
    <w:p w14:paraId="0B1F6340" w14:textId="6F855F1C" w:rsidR="005D263F" w:rsidRPr="00052107" w:rsidRDefault="006537DB" w:rsidP="00E3243F">
      <w:pPr>
        <w:spacing w:after="0" w:line="252" w:lineRule="auto"/>
        <w:contextualSpacing/>
        <w:jc w:val="both"/>
        <w:rPr>
          <w:rFonts w:eastAsia="Calibri" w:cstheme="minorHAnsi"/>
          <w:sz w:val="24"/>
          <w:szCs w:val="24"/>
        </w:rPr>
      </w:pPr>
      <w:r>
        <w:rPr>
          <w:rFonts w:eastAsia="Calibri" w:cstheme="minorHAnsi"/>
          <w:sz w:val="24"/>
          <w:szCs w:val="24"/>
        </w:rPr>
        <w:t>4</w:t>
      </w:r>
      <w:r w:rsidRPr="00052107">
        <w:rPr>
          <w:rFonts w:eastAsia="Calibri" w:cstheme="minorHAnsi"/>
          <w:sz w:val="24"/>
          <w:szCs w:val="24"/>
        </w:rPr>
        <w:t>.</w:t>
      </w:r>
      <w:r w:rsidR="00CE41BF" w:rsidRPr="00052107">
        <w:rPr>
          <w:rFonts w:eastAsia="Calibri" w:cstheme="minorHAnsi"/>
          <w:sz w:val="24"/>
          <w:szCs w:val="24"/>
        </w:rPr>
        <w:t>3</w:t>
      </w:r>
      <w:r w:rsidR="00CE41BF">
        <w:rPr>
          <w:rFonts w:eastAsia="Calibri" w:cstheme="minorHAnsi"/>
          <w:sz w:val="24"/>
          <w:szCs w:val="24"/>
        </w:rPr>
        <w:t>6</w:t>
      </w:r>
      <w:r w:rsidR="00CE41BF" w:rsidRPr="00052107">
        <w:rPr>
          <w:rFonts w:eastAsia="Calibri" w:cstheme="minorHAnsi"/>
          <w:sz w:val="24"/>
          <w:szCs w:val="24"/>
        </w:rPr>
        <w:t xml:space="preserve"> </w:t>
      </w:r>
      <w:r w:rsidR="005D263F" w:rsidRPr="00052107">
        <w:rPr>
          <w:rFonts w:eastAsia="Calibri" w:cstheme="minorHAnsi"/>
          <w:sz w:val="24"/>
          <w:szCs w:val="24"/>
        </w:rPr>
        <w:t xml:space="preserve">Tento předpoklad se potvrdil. </w:t>
      </w:r>
      <w:r w:rsidR="008E47EB" w:rsidRPr="00052107">
        <w:rPr>
          <w:rFonts w:eastAsia="Calibri" w:cstheme="minorHAnsi"/>
          <w:sz w:val="24"/>
          <w:szCs w:val="24"/>
        </w:rPr>
        <w:t>ŘSD provedlo</w:t>
      </w:r>
      <w:r w:rsidR="00312C05">
        <w:rPr>
          <w:rFonts w:eastAsia="Calibri" w:cstheme="minorHAnsi"/>
          <w:sz w:val="24"/>
          <w:szCs w:val="24"/>
        </w:rPr>
        <w:t xml:space="preserve"> </w:t>
      </w:r>
      <w:r w:rsidR="008E47EB" w:rsidRPr="00052107">
        <w:rPr>
          <w:rFonts w:eastAsia="Calibri" w:cstheme="minorHAnsi"/>
          <w:sz w:val="24"/>
          <w:szCs w:val="24"/>
        </w:rPr>
        <w:t>s</w:t>
      </w:r>
      <w:r w:rsidR="005D263F" w:rsidRPr="00052107">
        <w:rPr>
          <w:rFonts w:eastAsia="Calibri" w:cstheme="minorHAnsi"/>
          <w:sz w:val="24"/>
          <w:szCs w:val="24"/>
        </w:rPr>
        <w:t>rovnání počtu vážních deliktů zjištěných</w:t>
      </w:r>
      <w:r w:rsidR="008E47EB" w:rsidRPr="00052107">
        <w:rPr>
          <w:rFonts w:eastAsia="Calibri" w:cstheme="minorHAnsi"/>
          <w:sz w:val="24"/>
          <w:szCs w:val="24"/>
        </w:rPr>
        <w:t xml:space="preserve"> za období 25. 10.</w:t>
      </w:r>
      <w:r w:rsidR="00FA3F22">
        <w:rPr>
          <w:rFonts w:eastAsia="Calibri" w:cstheme="minorHAnsi"/>
          <w:sz w:val="24"/>
          <w:szCs w:val="24"/>
        </w:rPr>
        <w:t xml:space="preserve"> </w:t>
      </w:r>
      <w:r w:rsidR="00F070D5">
        <w:rPr>
          <w:rFonts w:eastAsia="Calibri" w:cstheme="minorHAnsi"/>
          <w:sz w:val="24"/>
          <w:szCs w:val="24"/>
        </w:rPr>
        <w:t>až</w:t>
      </w:r>
      <w:r w:rsidR="00FA3F22">
        <w:rPr>
          <w:rFonts w:eastAsia="Calibri" w:cstheme="minorHAnsi"/>
          <w:sz w:val="24"/>
          <w:szCs w:val="24"/>
        </w:rPr>
        <w:t xml:space="preserve"> </w:t>
      </w:r>
      <w:r w:rsidR="008E47EB" w:rsidRPr="00052107">
        <w:rPr>
          <w:rFonts w:eastAsia="Calibri" w:cstheme="minorHAnsi"/>
          <w:sz w:val="24"/>
          <w:szCs w:val="24"/>
        </w:rPr>
        <w:t>15. 11. 2024</w:t>
      </w:r>
      <w:r w:rsidR="005D263F" w:rsidRPr="00052107">
        <w:rPr>
          <w:rFonts w:eastAsia="Calibri" w:cstheme="minorHAnsi"/>
          <w:sz w:val="24"/>
          <w:szCs w:val="24"/>
        </w:rPr>
        <w:t xml:space="preserve"> třemi váhami pro VKV </w:t>
      </w:r>
      <w:r w:rsidR="008E47EB" w:rsidRPr="00052107">
        <w:rPr>
          <w:rFonts w:eastAsia="Calibri" w:cstheme="minorHAnsi"/>
          <w:sz w:val="24"/>
          <w:szCs w:val="24"/>
        </w:rPr>
        <w:t>podle pravidel</w:t>
      </w:r>
      <w:r w:rsidR="002B00AC" w:rsidRPr="00052107">
        <w:rPr>
          <w:rFonts w:eastAsia="Calibri" w:cstheme="minorHAnsi"/>
          <w:sz w:val="24"/>
          <w:szCs w:val="24"/>
        </w:rPr>
        <w:t xml:space="preserve"> </w:t>
      </w:r>
      <w:r w:rsidR="008E47EB" w:rsidRPr="00052107">
        <w:rPr>
          <w:rFonts w:eastAsia="Calibri" w:cstheme="minorHAnsi"/>
          <w:sz w:val="24"/>
          <w:szCs w:val="24"/>
        </w:rPr>
        <w:t xml:space="preserve">platných v </w:t>
      </w:r>
      <w:r w:rsidR="002B00AC" w:rsidRPr="00052107">
        <w:rPr>
          <w:rFonts w:eastAsia="Calibri" w:cstheme="minorHAnsi"/>
          <w:sz w:val="24"/>
          <w:szCs w:val="24"/>
        </w:rPr>
        <w:t xml:space="preserve">období před </w:t>
      </w:r>
      <w:r w:rsidR="003E6FC2">
        <w:rPr>
          <w:rFonts w:eastAsia="Calibri" w:cstheme="minorHAnsi"/>
          <w:sz w:val="24"/>
          <w:szCs w:val="24"/>
        </w:rPr>
        <w:t xml:space="preserve">zrušením </w:t>
      </w:r>
      <w:r w:rsidR="002B00AC" w:rsidRPr="00052107">
        <w:rPr>
          <w:rFonts w:eastAsia="Calibri" w:cstheme="minorHAnsi"/>
          <w:sz w:val="24"/>
          <w:szCs w:val="24"/>
        </w:rPr>
        <w:t>a</w:t>
      </w:r>
      <w:r w:rsidR="005D263F" w:rsidRPr="00052107">
        <w:rPr>
          <w:rFonts w:eastAsia="Calibri" w:cstheme="minorHAnsi"/>
          <w:sz w:val="24"/>
          <w:szCs w:val="24"/>
        </w:rPr>
        <w:t xml:space="preserve"> po </w:t>
      </w:r>
      <w:r w:rsidR="0063483C">
        <w:rPr>
          <w:rFonts w:eastAsia="Calibri" w:cstheme="minorHAnsi"/>
          <w:sz w:val="24"/>
          <w:szCs w:val="24"/>
        </w:rPr>
        <w:t xml:space="preserve">zrušení postihu </w:t>
      </w:r>
      <w:r w:rsidR="0063483C">
        <w:rPr>
          <w:rFonts w:cstheme="minorHAnsi"/>
          <w:sz w:val="24"/>
          <w:szCs w:val="24"/>
        </w:rPr>
        <w:t>vozidel s přetíženými nápravami při VKV</w:t>
      </w:r>
      <w:r w:rsidR="005D263F" w:rsidRPr="00052107">
        <w:rPr>
          <w:rFonts w:eastAsia="Calibri" w:cstheme="minorHAnsi"/>
          <w:sz w:val="24"/>
          <w:szCs w:val="24"/>
        </w:rPr>
        <w:t>.</w:t>
      </w:r>
      <w:r w:rsidR="008E47EB" w:rsidRPr="00052107">
        <w:rPr>
          <w:rFonts w:eastAsia="Calibri" w:cstheme="minorHAnsi"/>
          <w:sz w:val="24"/>
          <w:szCs w:val="24"/>
        </w:rPr>
        <w:t xml:space="preserve"> Z tohoto srovnání </w:t>
      </w:r>
      <w:r w:rsidR="002B00AC" w:rsidRPr="00052107">
        <w:rPr>
          <w:rFonts w:eastAsia="Calibri" w:cstheme="minorHAnsi"/>
          <w:sz w:val="24"/>
          <w:szCs w:val="24"/>
        </w:rPr>
        <w:t xml:space="preserve">vyplývá </w:t>
      </w:r>
      <w:r w:rsidR="004E6CCE" w:rsidRPr="00052107">
        <w:rPr>
          <w:rFonts w:eastAsia="Calibri" w:cstheme="minorHAnsi"/>
          <w:sz w:val="24"/>
          <w:szCs w:val="24"/>
        </w:rPr>
        <w:t>pokles</w:t>
      </w:r>
      <w:r w:rsidR="008E47EB" w:rsidRPr="00052107">
        <w:rPr>
          <w:rFonts w:eastAsia="Calibri" w:cstheme="minorHAnsi"/>
          <w:sz w:val="24"/>
          <w:szCs w:val="24"/>
        </w:rPr>
        <w:t xml:space="preserve"> počtu vážních deliktů</w:t>
      </w:r>
      <w:r w:rsidR="002B00AC" w:rsidRPr="00052107">
        <w:rPr>
          <w:rFonts w:eastAsia="Calibri" w:cstheme="minorHAnsi"/>
          <w:sz w:val="24"/>
          <w:szCs w:val="24"/>
        </w:rPr>
        <w:t xml:space="preserve"> až o 98</w:t>
      </w:r>
      <w:r w:rsidR="001D23BA" w:rsidRPr="00052107">
        <w:rPr>
          <w:rFonts w:eastAsia="Calibri" w:cstheme="minorHAnsi"/>
          <w:sz w:val="24"/>
          <w:szCs w:val="24"/>
        </w:rPr>
        <w:t>,23</w:t>
      </w:r>
      <w:r w:rsidR="002B00AC" w:rsidRPr="00052107">
        <w:rPr>
          <w:rFonts w:eastAsia="Calibri" w:cstheme="minorHAnsi"/>
          <w:sz w:val="24"/>
          <w:szCs w:val="24"/>
        </w:rPr>
        <w:t xml:space="preserve"> % (viz tabulka č. 4).</w:t>
      </w:r>
      <w:r w:rsidR="001D23BA" w:rsidRPr="00052107">
        <w:rPr>
          <w:rFonts w:eastAsia="Calibri" w:cstheme="minorHAnsi"/>
          <w:sz w:val="24"/>
          <w:szCs w:val="24"/>
        </w:rPr>
        <w:t xml:space="preserve"> Velmi významně se tedy snížil počet </w:t>
      </w:r>
      <w:r w:rsidR="004E6CCE" w:rsidRPr="00052107">
        <w:rPr>
          <w:rFonts w:eastAsia="Calibri" w:cstheme="minorHAnsi"/>
          <w:sz w:val="24"/>
          <w:szCs w:val="24"/>
        </w:rPr>
        <w:t>zjišťovaných</w:t>
      </w:r>
      <w:r w:rsidR="00794785" w:rsidRPr="00052107">
        <w:rPr>
          <w:rFonts w:eastAsia="Calibri" w:cstheme="minorHAnsi"/>
          <w:sz w:val="24"/>
          <w:szCs w:val="24"/>
        </w:rPr>
        <w:t xml:space="preserve"> vážních deliktů, aniž by byl </w:t>
      </w:r>
      <w:r w:rsidR="004E6CCE" w:rsidRPr="00052107">
        <w:rPr>
          <w:rFonts w:eastAsia="Calibri" w:cstheme="minorHAnsi"/>
          <w:sz w:val="24"/>
          <w:szCs w:val="24"/>
        </w:rPr>
        <w:t>snížen</w:t>
      </w:r>
      <w:r w:rsidR="00794785" w:rsidRPr="00052107">
        <w:rPr>
          <w:rFonts w:eastAsia="Calibri" w:cstheme="minorHAnsi"/>
          <w:sz w:val="24"/>
          <w:szCs w:val="24"/>
        </w:rPr>
        <w:t xml:space="preserve"> destrukční vliv jízd vozidel s přetíženými nápravami na dopravní infrastrukturu. Zároveň se </w:t>
      </w:r>
      <w:r w:rsidR="004E6CCE" w:rsidRPr="00052107">
        <w:rPr>
          <w:rFonts w:eastAsia="Calibri" w:cstheme="minorHAnsi"/>
          <w:sz w:val="24"/>
          <w:szCs w:val="24"/>
        </w:rPr>
        <w:t xml:space="preserve">tím </w:t>
      </w:r>
      <w:r w:rsidR="00794785" w:rsidRPr="00052107">
        <w:rPr>
          <w:rFonts w:eastAsia="Calibri" w:cstheme="minorHAnsi"/>
          <w:sz w:val="24"/>
          <w:szCs w:val="24"/>
        </w:rPr>
        <w:t xml:space="preserve">snížil objem potenciálních </w:t>
      </w:r>
      <w:r w:rsidR="00794785" w:rsidRPr="00052107">
        <w:rPr>
          <w:rFonts w:eastAsia="Calibri" w:cstheme="minorHAnsi"/>
          <w:sz w:val="24"/>
          <w:szCs w:val="24"/>
        </w:rPr>
        <w:lastRenderedPageBreak/>
        <w:t>příjmů z</w:t>
      </w:r>
      <w:r w:rsidR="003E6FC2">
        <w:rPr>
          <w:rFonts w:eastAsia="Calibri" w:cstheme="minorHAnsi"/>
          <w:sz w:val="24"/>
          <w:szCs w:val="24"/>
        </w:rPr>
        <w:t xml:space="preserve"> </w:t>
      </w:r>
      <w:r w:rsidR="00794785" w:rsidRPr="00052107">
        <w:rPr>
          <w:rFonts w:eastAsia="Calibri" w:cstheme="minorHAnsi"/>
          <w:sz w:val="24"/>
          <w:szCs w:val="24"/>
        </w:rPr>
        <w:t xml:space="preserve">pokut, které </w:t>
      </w:r>
      <w:r w:rsidR="00F070D5">
        <w:rPr>
          <w:rFonts w:eastAsia="Calibri" w:cstheme="minorHAnsi"/>
          <w:sz w:val="24"/>
          <w:szCs w:val="24"/>
        </w:rPr>
        <w:t>obcím s</w:t>
      </w:r>
      <w:r w:rsidR="003E6FC2">
        <w:rPr>
          <w:rFonts w:eastAsia="Calibri" w:cstheme="minorHAnsi"/>
          <w:sz w:val="24"/>
          <w:szCs w:val="24"/>
        </w:rPr>
        <w:t xml:space="preserve"> </w:t>
      </w:r>
      <w:r w:rsidR="00F070D5">
        <w:rPr>
          <w:rFonts w:eastAsia="Calibri" w:cstheme="minorHAnsi"/>
          <w:sz w:val="24"/>
          <w:szCs w:val="24"/>
        </w:rPr>
        <w:t>rozšířenou působností</w:t>
      </w:r>
      <w:r w:rsidR="00794785" w:rsidRPr="00052107">
        <w:rPr>
          <w:rFonts w:eastAsia="Calibri" w:cstheme="minorHAnsi"/>
          <w:sz w:val="24"/>
          <w:szCs w:val="24"/>
        </w:rPr>
        <w:t xml:space="preserve"> slouží jako zdroj financování </w:t>
      </w:r>
      <w:r w:rsidR="004E6CCE" w:rsidRPr="00052107">
        <w:rPr>
          <w:rFonts w:eastAsia="Calibri" w:cstheme="minorHAnsi"/>
          <w:sz w:val="24"/>
          <w:szCs w:val="24"/>
        </w:rPr>
        <w:t xml:space="preserve">jejich </w:t>
      </w:r>
      <w:r w:rsidR="00794785" w:rsidRPr="00052107">
        <w:rPr>
          <w:rFonts w:eastAsia="Calibri" w:cstheme="minorHAnsi"/>
          <w:sz w:val="24"/>
          <w:szCs w:val="24"/>
        </w:rPr>
        <w:t>nákladů související</w:t>
      </w:r>
      <w:r w:rsidR="00F070D5">
        <w:rPr>
          <w:rFonts w:eastAsia="Calibri" w:cstheme="minorHAnsi"/>
          <w:sz w:val="24"/>
          <w:szCs w:val="24"/>
        </w:rPr>
        <w:t>ch</w:t>
      </w:r>
      <w:r w:rsidR="00794785" w:rsidRPr="00052107">
        <w:rPr>
          <w:rFonts w:eastAsia="Calibri" w:cstheme="minorHAnsi"/>
          <w:sz w:val="24"/>
          <w:szCs w:val="24"/>
        </w:rPr>
        <w:t xml:space="preserve"> s řešením a postihováním vážních deliktů.</w:t>
      </w:r>
    </w:p>
    <w:p w14:paraId="4E2F45EC" w14:textId="77777777" w:rsidR="002B00AC" w:rsidRPr="00052107" w:rsidRDefault="002B00AC" w:rsidP="00E3243F">
      <w:pPr>
        <w:spacing w:after="0" w:line="252" w:lineRule="auto"/>
        <w:contextualSpacing/>
        <w:jc w:val="both"/>
        <w:rPr>
          <w:rFonts w:eastAsia="Calibri" w:cstheme="minorHAnsi"/>
          <w:sz w:val="24"/>
          <w:szCs w:val="24"/>
        </w:rPr>
      </w:pPr>
    </w:p>
    <w:p w14:paraId="069A4701" w14:textId="77777777" w:rsidR="002B00AC" w:rsidRDefault="002B00AC" w:rsidP="008E47EB">
      <w:pPr>
        <w:keepNext/>
        <w:spacing w:after="0" w:line="252" w:lineRule="auto"/>
        <w:ind w:left="1418" w:hanging="1418"/>
        <w:contextualSpacing/>
        <w:jc w:val="both"/>
        <w:rPr>
          <w:b/>
          <w:sz w:val="24"/>
          <w:szCs w:val="24"/>
        </w:rPr>
      </w:pPr>
      <w:r w:rsidRPr="00052107">
        <w:rPr>
          <w:rFonts w:ascii="Calibri" w:eastAsia="Calibri" w:hAnsi="Calibri" w:cs="Calibri"/>
          <w:b/>
          <w:sz w:val="24"/>
          <w:szCs w:val="24"/>
        </w:rPr>
        <w:t xml:space="preserve">Tabulka č. 4: </w:t>
      </w:r>
      <w:r w:rsidR="008E47EB" w:rsidRPr="00052107">
        <w:rPr>
          <w:b/>
          <w:sz w:val="24"/>
          <w:szCs w:val="24"/>
        </w:rPr>
        <w:t>Vliv</w:t>
      </w:r>
      <w:r w:rsidRPr="00052107">
        <w:rPr>
          <w:b/>
          <w:sz w:val="24"/>
          <w:szCs w:val="24"/>
        </w:rPr>
        <w:t xml:space="preserve"> úprav</w:t>
      </w:r>
      <w:r w:rsidR="008E47EB" w:rsidRPr="00052107">
        <w:rPr>
          <w:b/>
          <w:sz w:val="24"/>
          <w:szCs w:val="24"/>
        </w:rPr>
        <w:t>y</w:t>
      </w:r>
      <w:r w:rsidRPr="00052107">
        <w:rPr>
          <w:b/>
          <w:sz w:val="24"/>
          <w:szCs w:val="24"/>
        </w:rPr>
        <w:t xml:space="preserve"> vyhlášky</w:t>
      </w:r>
      <w:r w:rsidR="008E47EB" w:rsidRPr="00052107">
        <w:rPr>
          <w:b/>
          <w:sz w:val="24"/>
          <w:szCs w:val="24"/>
        </w:rPr>
        <w:t xml:space="preserve"> </w:t>
      </w:r>
      <w:r w:rsidR="00C416AF" w:rsidRPr="00052107">
        <w:rPr>
          <w:b/>
          <w:sz w:val="24"/>
          <w:szCs w:val="24"/>
        </w:rPr>
        <w:t>č. 104/1997 Sb.</w:t>
      </w:r>
      <w:r w:rsidR="008E47EB" w:rsidRPr="00052107">
        <w:rPr>
          <w:b/>
          <w:sz w:val="24"/>
          <w:szCs w:val="24"/>
        </w:rPr>
        <w:t xml:space="preserve"> na počet zjištěných vážních deliktů </w:t>
      </w:r>
    </w:p>
    <w:p w14:paraId="67A2A3CA" w14:textId="77777777" w:rsidR="002B00AC" w:rsidRPr="001635CE" w:rsidRDefault="002B00AC" w:rsidP="002B00AC">
      <w:pPr>
        <w:keepNext/>
        <w:spacing w:after="0" w:line="252" w:lineRule="auto"/>
        <w:contextualSpacing/>
        <w:jc w:val="both"/>
        <w:rPr>
          <w:rFonts w:ascii="Calibri" w:eastAsia="Calibri" w:hAnsi="Calibri" w:cs="Calibri"/>
          <w:b/>
          <w:sz w:val="6"/>
          <w:szCs w:val="6"/>
        </w:rPr>
      </w:pPr>
    </w:p>
    <w:tbl>
      <w:tblPr>
        <w:tblStyle w:val="Mkatabulky"/>
        <w:tblW w:w="905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76"/>
        <w:gridCol w:w="1691"/>
        <w:gridCol w:w="2277"/>
        <w:gridCol w:w="2538"/>
        <w:gridCol w:w="1275"/>
      </w:tblGrid>
      <w:tr w:rsidR="008E47EB" w:rsidRPr="00757200" w14:paraId="09C12304" w14:textId="77777777" w:rsidTr="004459F3">
        <w:trPr>
          <w:trHeight w:val="328"/>
        </w:trPr>
        <w:tc>
          <w:tcPr>
            <w:tcW w:w="1276" w:type="dxa"/>
            <w:vMerge w:val="restart"/>
            <w:tcBorders>
              <w:top w:val="single" w:sz="8" w:space="0" w:color="auto"/>
              <w:bottom w:val="single" w:sz="4" w:space="0" w:color="auto"/>
            </w:tcBorders>
            <w:shd w:val="clear" w:color="auto" w:fill="E6E6E6"/>
            <w:vAlign w:val="center"/>
          </w:tcPr>
          <w:p w14:paraId="65725F96" w14:textId="77777777" w:rsidR="008E47EB" w:rsidRPr="004459F3" w:rsidRDefault="008E47EB" w:rsidP="00D73123">
            <w:pPr>
              <w:spacing w:line="252" w:lineRule="auto"/>
              <w:contextualSpacing/>
              <w:jc w:val="center"/>
              <w:rPr>
                <w:b/>
                <w:sz w:val="20"/>
                <w:szCs w:val="20"/>
              </w:rPr>
            </w:pPr>
            <w:r w:rsidRPr="004459F3">
              <w:rPr>
                <w:rFonts w:ascii="Calibri" w:hAnsi="Calibri" w:cs="Calibri"/>
                <w:b/>
                <w:bCs/>
                <w:color w:val="000000"/>
                <w:sz w:val="20"/>
                <w:szCs w:val="20"/>
              </w:rPr>
              <w:t>Dálnice</w:t>
            </w:r>
          </w:p>
        </w:tc>
        <w:tc>
          <w:tcPr>
            <w:tcW w:w="1691" w:type="dxa"/>
            <w:vMerge w:val="restart"/>
            <w:tcBorders>
              <w:top w:val="single" w:sz="8" w:space="0" w:color="auto"/>
              <w:bottom w:val="single" w:sz="4" w:space="0" w:color="auto"/>
            </w:tcBorders>
            <w:shd w:val="clear" w:color="auto" w:fill="E6E6E6"/>
            <w:vAlign w:val="center"/>
          </w:tcPr>
          <w:p w14:paraId="6FC9EA36" w14:textId="77777777" w:rsidR="008E47EB" w:rsidRPr="004459F3" w:rsidRDefault="008E47EB" w:rsidP="00D73123">
            <w:pPr>
              <w:spacing w:line="252" w:lineRule="auto"/>
              <w:contextualSpacing/>
              <w:jc w:val="center"/>
              <w:rPr>
                <w:b/>
                <w:sz w:val="20"/>
                <w:szCs w:val="20"/>
              </w:rPr>
            </w:pPr>
            <w:r w:rsidRPr="004459F3">
              <w:rPr>
                <w:rFonts w:ascii="Calibri" w:hAnsi="Calibri" w:cs="Calibri"/>
                <w:b/>
                <w:bCs/>
                <w:color w:val="000000"/>
                <w:sz w:val="20"/>
                <w:szCs w:val="20"/>
              </w:rPr>
              <w:t>ORP</w:t>
            </w:r>
          </w:p>
        </w:tc>
        <w:tc>
          <w:tcPr>
            <w:tcW w:w="4815" w:type="dxa"/>
            <w:gridSpan w:val="2"/>
            <w:tcBorders>
              <w:top w:val="single" w:sz="8" w:space="0" w:color="auto"/>
              <w:bottom w:val="single" w:sz="4" w:space="0" w:color="auto"/>
            </w:tcBorders>
            <w:shd w:val="clear" w:color="auto" w:fill="E6E6E6"/>
            <w:vAlign w:val="center"/>
          </w:tcPr>
          <w:p w14:paraId="302B08F6" w14:textId="77777777" w:rsidR="008E47EB" w:rsidRPr="004459F3" w:rsidRDefault="008E47EB" w:rsidP="00D73123">
            <w:pPr>
              <w:spacing w:line="252" w:lineRule="auto"/>
              <w:contextualSpacing/>
              <w:jc w:val="center"/>
              <w:rPr>
                <w:b/>
                <w:sz w:val="20"/>
                <w:szCs w:val="20"/>
              </w:rPr>
            </w:pPr>
            <w:r w:rsidRPr="004459F3">
              <w:rPr>
                <w:b/>
                <w:sz w:val="20"/>
                <w:szCs w:val="20"/>
              </w:rPr>
              <w:t xml:space="preserve">Počet zjištěných vážních deliktů </w:t>
            </w:r>
          </w:p>
          <w:p w14:paraId="7E039C35" w14:textId="77777777" w:rsidR="008E47EB" w:rsidRPr="004459F3" w:rsidRDefault="008E47EB" w:rsidP="00D73123">
            <w:pPr>
              <w:spacing w:line="252" w:lineRule="auto"/>
              <w:contextualSpacing/>
              <w:jc w:val="center"/>
              <w:rPr>
                <w:b/>
                <w:sz w:val="20"/>
                <w:szCs w:val="20"/>
              </w:rPr>
            </w:pPr>
            <w:r w:rsidRPr="004459F3">
              <w:rPr>
                <w:b/>
                <w:sz w:val="20"/>
                <w:szCs w:val="20"/>
              </w:rPr>
              <w:t xml:space="preserve">podle pravidel platných </w:t>
            </w:r>
          </w:p>
        </w:tc>
        <w:tc>
          <w:tcPr>
            <w:tcW w:w="1275" w:type="dxa"/>
            <w:vMerge w:val="restart"/>
            <w:tcBorders>
              <w:top w:val="single" w:sz="8" w:space="0" w:color="auto"/>
              <w:bottom w:val="single" w:sz="4" w:space="0" w:color="auto"/>
            </w:tcBorders>
            <w:shd w:val="clear" w:color="auto" w:fill="E6E6E6"/>
            <w:vAlign w:val="center"/>
          </w:tcPr>
          <w:p w14:paraId="6B8C8B19" w14:textId="0F0602FF" w:rsidR="008E47EB" w:rsidRPr="004459F3" w:rsidRDefault="008E47EB" w:rsidP="00D73123">
            <w:pPr>
              <w:spacing w:line="252" w:lineRule="auto"/>
              <w:contextualSpacing/>
              <w:jc w:val="center"/>
              <w:rPr>
                <w:b/>
                <w:sz w:val="20"/>
                <w:szCs w:val="20"/>
              </w:rPr>
            </w:pPr>
            <w:r w:rsidRPr="004459F3">
              <w:rPr>
                <w:b/>
                <w:sz w:val="20"/>
                <w:szCs w:val="20"/>
              </w:rPr>
              <w:t>Pokles o</w:t>
            </w:r>
          </w:p>
        </w:tc>
      </w:tr>
      <w:tr w:rsidR="008E47EB" w:rsidRPr="00757200" w14:paraId="711F780E" w14:textId="77777777" w:rsidTr="004459F3">
        <w:trPr>
          <w:trHeight w:val="340"/>
        </w:trPr>
        <w:tc>
          <w:tcPr>
            <w:tcW w:w="1276" w:type="dxa"/>
            <w:vMerge/>
            <w:tcBorders>
              <w:top w:val="single" w:sz="4" w:space="0" w:color="auto"/>
              <w:bottom w:val="single" w:sz="8" w:space="0" w:color="auto"/>
            </w:tcBorders>
            <w:vAlign w:val="center"/>
          </w:tcPr>
          <w:p w14:paraId="5168F757" w14:textId="77777777" w:rsidR="008E47EB" w:rsidRPr="004459F3" w:rsidRDefault="008E47EB" w:rsidP="00D73123">
            <w:pPr>
              <w:spacing w:line="252" w:lineRule="auto"/>
              <w:contextualSpacing/>
              <w:jc w:val="center"/>
              <w:rPr>
                <w:sz w:val="20"/>
                <w:szCs w:val="20"/>
              </w:rPr>
            </w:pPr>
          </w:p>
        </w:tc>
        <w:tc>
          <w:tcPr>
            <w:tcW w:w="1691" w:type="dxa"/>
            <w:vMerge/>
            <w:tcBorders>
              <w:top w:val="single" w:sz="4" w:space="0" w:color="auto"/>
              <w:bottom w:val="single" w:sz="8" w:space="0" w:color="auto"/>
            </w:tcBorders>
            <w:vAlign w:val="center"/>
          </w:tcPr>
          <w:p w14:paraId="42E5A8DC" w14:textId="77777777" w:rsidR="008E47EB" w:rsidRPr="004459F3" w:rsidRDefault="008E47EB" w:rsidP="00D73123">
            <w:pPr>
              <w:spacing w:line="252" w:lineRule="auto"/>
              <w:contextualSpacing/>
              <w:jc w:val="center"/>
              <w:rPr>
                <w:sz w:val="20"/>
                <w:szCs w:val="20"/>
              </w:rPr>
            </w:pPr>
          </w:p>
        </w:tc>
        <w:tc>
          <w:tcPr>
            <w:tcW w:w="2277" w:type="dxa"/>
            <w:tcBorders>
              <w:top w:val="single" w:sz="4" w:space="0" w:color="auto"/>
              <w:bottom w:val="single" w:sz="8" w:space="0" w:color="auto"/>
            </w:tcBorders>
            <w:shd w:val="clear" w:color="auto" w:fill="E6E6E6"/>
            <w:vAlign w:val="center"/>
          </w:tcPr>
          <w:p w14:paraId="7F8BDB1B" w14:textId="77777777" w:rsidR="008E47EB" w:rsidRPr="004459F3" w:rsidRDefault="008E47EB" w:rsidP="001D23BA">
            <w:pPr>
              <w:spacing w:line="252" w:lineRule="auto"/>
              <w:contextualSpacing/>
              <w:jc w:val="center"/>
              <w:rPr>
                <w:rFonts w:ascii="Calibri" w:hAnsi="Calibri" w:cs="Calibri"/>
                <w:b/>
                <w:sz w:val="20"/>
                <w:szCs w:val="20"/>
              </w:rPr>
            </w:pPr>
            <w:r w:rsidRPr="004459F3">
              <w:rPr>
                <w:rFonts w:ascii="Calibri" w:hAnsi="Calibri" w:cs="Calibri"/>
                <w:b/>
                <w:sz w:val="20"/>
                <w:szCs w:val="20"/>
              </w:rPr>
              <w:t>před úpravou vyhlášky</w:t>
            </w:r>
          </w:p>
        </w:tc>
        <w:tc>
          <w:tcPr>
            <w:tcW w:w="2538" w:type="dxa"/>
            <w:tcBorders>
              <w:top w:val="single" w:sz="4" w:space="0" w:color="auto"/>
              <w:bottom w:val="single" w:sz="8" w:space="0" w:color="auto"/>
            </w:tcBorders>
            <w:shd w:val="clear" w:color="auto" w:fill="E6E6E6"/>
            <w:vAlign w:val="center"/>
          </w:tcPr>
          <w:p w14:paraId="33619D2F" w14:textId="77777777" w:rsidR="008E47EB" w:rsidRPr="004459F3" w:rsidRDefault="008E47EB" w:rsidP="001D23BA">
            <w:pPr>
              <w:spacing w:line="252" w:lineRule="auto"/>
              <w:contextualSpacing/>
              <w:jc w:val="center"/>
              <w:rPr>
                <w:rFonts w:ascii="Calibri" w:hAnsi="Calibri" w:cs="Calibri"/>
                <w:b/>
                <w:sz w:val="20"/>
                <w:szCs w:val="20"/>
              </w:rPr>
            </w:pPr>
            <w:r w:rsidRPr="004459F3">
              <w:rPr>
                <w:rFonts w:ascii="Calibri" w:hAnsi="Calibri" w:cs="Calibri"/>
                <w:b/>
                <w:sz w:val="20"/>
                <w:szCs w:val="20"/>
              </w:rPr>
              <w:t>po úpravě vyhlášky</w:t>
            </w:r>
          </w:p>
        </w:tc>
        <w:tc>
          <w:tcPr>
            <w:tcW w:w="1275" w:type="dxa"/>
            <w:vMerge/>
            <w:tcBorders>
              <w:top w:val="single" w:sz="4" w:space="0" w:color="auto"/>
              <w:bottom w:val="single" w:sz="8" w:space="0" w:color="auto"/>
            </w:tcBorders>
            <w:shd w:val="clear" w:color="auto" w:fill="DEEAF6" w:themeFill="accent1" w:themeFillTint="33"/>
            <w:vAlign w:val="center"/>
          </w:tcPr>
          <w:p w14:paraId="42D7F003" w14:textId="77777777" w:rsidR="008E47EB" w:rsidRPr="004459F3" w:rsidRDefault="008E47EB" w:rsidP="001D23BA">
            <w:pPr>
              <w:spacing w:line="252" w:lineRule="auto"/>
              <w:contextualSpacing/>
              <w:jc w:val="center"/>
              <w:rPr>
                <w:rFonts w:ascii="Calibri" w:hAnsi="Calibri" w:cs="Calibri"/>
                <w:sz w:val="20"/>
                <w:szCs w:val="20"/>
              </w:rPr>
            </w:pPr>
          </w:p>
        </w:tc>
      </w:tr>
      <w:tr w:rsidR="001D23BA" w:rsidRPr="00757200" w14:paraId="236C88B1" w14:textId="77777777" w:rsidTr="004459F3">
        <w:trPr>
          <w:trHeight w:val="340"/>
        </w:trPr>
        <w:tc>
          <w:tcPr>
            <w:tcW w:w="1276" w:type="dxa"/>
            <w:tcBorders>
              <w:top w:val="single" w:sz="8" w:space="0" w:color="auto"/>
            </w:tcBorders>
            <w:vAlign w:val="center"/>
          </w:tcPr>
          <w:p w14:paraId="5F4DB08A" w14:textId="77777777" w:rsidR="002B00AC" w:rsidRPr="004459F3" w:rsidRDefault="00C416AF" w:rsidP="00C416AF">
            <w:pPr>
              <w:spacing w:line="252" w:lineRule="auto"/>
              <w:contextualSpacing/>
              <w:jc w:val="center"/>
              <w:rPr>
                <w:sz w:val="20"/>
                <w:szCs w:val="20"/>
              </w:rPr>
            </w:pPr>
            <w:r w:rsidRPr="004459F3">
              <w:rPr>
                <w:sz w:val="20"/>
                <w:szCs w:val="20"/>
              </w:rPr>
              <w:t>D2</w:t>
            </w:r>
          </w:p>
        </w:tc>
        <w:tc>
          <w:tcPr>
            <w:tcW w:w="1691" w:type="dxa"/>
            <w:tcBorders>
              <w:top w:val="single" w:sz="8" w:space="0" w:color="auto"/>
            </w:tcBorders>
            <w:vAlign w:val="center"/>
          </w:tcPr>
          <w:p w14:paraId="427A76EC" w14:textId="77777777" w:rsidR="002B00AC" w:rsidRPr="004459F3" w:rsidRDefault="00C416AF" w:rsidP="00C416AF">
            <w:pPr>
              <w:spacing w:line="252" w:lineRule="auto"/>
              <w:contextualSpacing/>
              <w:jc w:val="center"/>
              <w:rPr>
                <w:sz w:val="20"/>
                <w:szCs w:val="20"/>
              </w:rPr>
            </w:pPr>
            <w:r w:rsidRPr="004459F3">
              <w:rPr>
                <w:sz w:val="20"/>
                <w:szCs w:val="20"/>
              </w:rPr>
              <w:t>Židlochovice</w:t>
            </w:r>
          </w:p>
        </w:tc>
        <w:tc>
          <w:tcPr>
            <w:tcW w:w="2277" w:type="dxa"/>
            <w:tcBorders>
              <w:top w:val="single" w:sz="8" w:space="0" w:color="auto"/>
            </w:tcBorders>
            <w:vAlign w:val="center"/>
          </w:tcPr>
          <w:p w14:paraId="6F311EF0" w14:textId="77777777" w:rsidR="002B00AC" w:rsidRPr="004459F3" w:rsidRDefault="00C416AF"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1 636</w:t>
            </w:r>
          </w:p>
        </w:tc>
        <w:tc>
          <w:tcPr>
            <w:tcW w:w="2538" w:type="dxa"/>
            <w:tcBorders>
              <w:top w:val="single" w:sz="8" w:space="0" w:color="auto"/>
            </w:tcBorders>
            <w:vAlign w:val="center"/>
          </w:tcPr>
          <w:p w14:paraId="4A7CC9E8" w14:textId="74ADB9B0" w:rsidR="002B00AC" w:rsidRPr="004459F3" w:rsidRDefault="001D23BA"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29</w:t>
            </w:r>
          </w:p>
        </w:tc>
        <w:tc>
          <w:tcPr>
            <w:tcW w:w="1275" w:type="dxa"/>
            <w:tcBorders>
              <w:top w:val="single" w:sz="8" w:space="0" w:color="auto"/>
            </w:tcBorders>
            <w:vAlign w:val="center"/>
          </w:tcPr>
          <w:p w14:paraId="305AB8B3" w14:textId="77777777" w:rsidR="002B00AC" w:rsidRPr="004459F3" w:rsidRDefault="001D23BA" w:rsidP="006326E3">
            <w:pPr>
              <w:spacing w:line="252" w:lineRule="auto"/>
              <w:ind w:right="57"/>
              <w:contextualSpacing/>
              <w:jc w:val="right"/>
              <w:rPr>
                <w:rFonts w:ascii="Calibri" w:hAnsi="Calibri" w:cs="Calibri"/>
                <w:sz w:val="20"/>
                <w:szCs w:val="20"/>
              </w:rPr>
            </w:pPr>
            <w:r w:rsidRPr="004459F3">
              <w:rPr>
                <w:rFonts w:ascii="Calibri" w:hAnsi="Calibri" w:cs="Calibri"/>
                <w:sz w:val="20"/>
                <w:szCs w:val="20"/>
              </w:rPr>
              <w:t>98,23</w:t>
            </w:r>
            <w:r w:rsidR="00D80621" w:rsidRPr="004459F3">
              <w:rPr>
                <w:rFonts w:ascii="Calibri" w:hAnsi="Calibri" w:cs="Calibri"/>
                <w:sz w:val="20"/>
                <w:szCs w:val="20"/>
              </w:rPr>
              <w:t xml:space="preserve"> %</w:t>
            </w:r>
          </w:p>
        </w:tc>
      </w:tr>
      <w:tr w:rsidR="001D23BA" w:rsidRPr="00757200" w14:paraId="41D8A9CE" w14:textId="77777777" w:rsidTr="004459F3">
        <w:trPr>
          <w:trHeight w:val="340"/>
        </w:trPr>
        <w:tc>
          <w:tcPr>
            <w:tcW w:w="1276" w:type="dxa"/>
            <w:vAlign w:val="center"/>
          </w:tcPr>
          <w:p w14:paraId="15C4A3BA" w14:textId="77777777" w:rsidR="002B00AC" w:rsidRPr="004459F3" w:rsidRDefault="00C416AF" w:rsidP="00C416AF">
            <w:pPr>
              <w:spacing w:line="252" w:lineRule="auto"/>
              <w:contextualSpacing/>
              <w:jc w:val="center"/>
              <w:rPr>
                <w:sz w:val="20"/>
                <w:szCs w:val="20"/>
              </w:rPr>
            </w:pPr>
            <w:r w:rsidRPr="004459F3">
              <w:rPr>
                <w:sz w:val="20"/>
                <w:szCs w:val="20"/>
              </w:rPr>
              <w:t>D1</w:t>
            </w:r>
          </w:p>
        </w:tc>
        <w:tc>
          <w:tcPr>
            <w:tcW w:w="1691" w:type="dxa"/>
            <w:vAlign w:val="center"/>
          </w:tcPr>
          <w:p w14:paraId="33C9DD9A" w14:textId="77777777" w:rsidR="002B00AC" w:rsidRPr="004459F3" w:rsidRDefault="00C416AF" w:rsidP="00C416AF">
            <w:pPr>
              <w:spacing w:line="252" w:lineRule="auto"/>
              <w:contextualSpacing/>
              <w:jc w:val="center"/>
              <w:rPr>
                <w:sz w:val="20"/>
                <w:szCs w:val="20"/>
              </w:rPr>
            </w:pPr>
            <w:r w:rsidRPr="004459F3">
              <w:rPr>
                <w:sz w:val="20"/>
                <w:szCs w:val="20"/>
              </w:rPr>
              <w:t>Jihlava</w:t>
            </w:r>
          </w:p>
        </w:tc>
        <w:tc>
          <w:tcPr>
            <w:tcW w:w="2277" w:type="dxa"/>
            <w:vAlign w:val="center"/>
          </w:tcPr>
          <w:p w14:paraId="62473E47" w14:textId="77777777" w:rsidR="002B00AC" w:rsidRPr="004459F3" w:rsidRDefault="00C416AF"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8 044</w:t>
            </w:r>
          </w:p>
        </w:tc>
        <w:tc>
          <w:tcPr>
            <w:tcW w:w="2538" w:type="dxa"/>
            <w:vAlign w:val="center"/>
          </w:tcPr>
          <w:p w14:paraId="622D01C2" w14:textId="77777777" w:rsidR="002B00AC" w:rsidRPr="004459F3" w:rsidRDefault="001D23BA"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248</w:t>
            </w:r>
          </w:p>
        </w:tc>
        <w:tc>
          <w:tcPr>
            <w:tcW w:w="1275" w:type="dxa"/>
            <w:vAlign w:val="center"/>
          </w:tcPr>
          <w:p w14:paraId="73A952C1" w14:textId="77777777" w:rsidR="002B00AC" w:rsidRPr="004459F3" w:rsidRDefault="001D23BA" w:rsidP="006326E3">
            <w:pPr>
              <w:spacing w:line="252" w:lineRule="auto"/>
              <w:ind w:right="57"/>
              <w:contextualSpacing/>
              <w:jc w:val="right"/>
              <w:rPr>
                <w:rFonts w:ascii="Calibri" w:hAnsi="Calibri" w:cs="Calibri"/>
                <w:sz w:val="20"/>
                <w:szCs w:val="20"/>
              </w:rPr>
            </w:pPr>
            <w:r w:rsidRPr="004459F3">
              <w:rPr>
                <w:rFonts w:ascii="Calibri" w:hAnsi="Calibri" w:cs="Calibri"/>
                <w:sz w:val="20"/>
                <w:szCs w:val="20"/>
              </w:rPr>
              <w:t>96,92</w:t>
            </w:r>
            <w:r w:rsidR="00D80621" w:rsidRPr="004459F3">
              <w:rPr>
                <w:rFonts w:ascii="Calibri" w:hAnsi="Calibri" w:cs="Calibri"/>
                <w:sz w:val="20"/>
                <w:szCs w:val="20"/>
              </w:rPr>
              <w:t xml:space="preserve"> %</w:t>
            </w:r>
          </w:p>
        </w:tc>
      </w:tr>
      <w:tr w:rsidR="001D23BA" w:rsidRPr="00757200" w14:paraId="4B4052E4" w14:textId="77777777" w:rsidTr="004459F3">
        <w:trPr>
          <w:trHeight w:val="340"/>
        </w:trPr>
        <w:tc>
          <w:tcPr>
            <w:tcW w:w="1276" w:type="dxa"/>
            <w:vAlign w:val="center"/>
          </w:tcPr>
          <w:p w14:paraId="2FF708B2" w14:textId="77777777" w:rsidR="00C416AF" w:rsidRPr="004459F3" w:rsidRDefault="00C416AF" w:rsidP="00C416AF">
            <w:pPr>
              <w:spacing w:line="252" w:lineRule="auto"/>
              <w:contextualSpacing/>
              <w:jc w:val="center"/>
              <w:rPr>
                <w:sz w:val="20"/>
                <w:szCs w:val="20"/>
              </w:rPr>
            </w:pPr>
            <w:r w:rsidRPr="004459F3">
              <w:rPr>
                <w:sz w:val="20"/>
                <w:szCs w:val="20"/>
              </w:rPr>
              <w:t>D48</w:t>
            </w:r>
          </w:p>
        </w:tc>
        <w:tc>
          <w:tcPr>
            <w:tcW w:w="1691" w:type="dxa"/>
            <w:vAlign w:val="center"/>
          </w:tcPr>
          <w:p w14:paraId="57D2C152" w14:textId="47B998F6" w:rsidR="00C416AF" w:rsidRPr="004459F3" w:rsidRDefault="00C416AF" w:rsidP="00526C63">
            <w:pPr>
              <w:spacing w:line="252" w:lineRule="auto"/>
              <w:contextualSpacing/>
              <w:jc w:val="center"/>
              <w:rPr>
                <w:sz w:val="20"/>
                <w:szCs w:val="20"/>
              </w:rPr>
            </w:pPr>
            <w:r w:rsidRPr="004459F3">
              <w:rPr>
                <w:sz w:val="20"/>
                <w:szCs w:val="20"/>
              </w:rPr>
              <w:t>Frýdek</w:t>
            </w:r>
            <w:r w:rsidR="0056656A" w:rsidRPr="004459F3">
              <w:rPr>
                <w:sz w:val="20"/>
                <w:szCs w:val="20"/>
              </w:rPr>
              <w:t>-</w:t>
            </w:r>
            <w:r w:rsidRPr="004459F3">
              <w:rPr>
                <w:sz w:val="20"/>
                <w:szCs w:val="20"/>
              </w:rPr>
              <w:t>Místek</w:t>
            </w:r>
          </w:p>
        </w:tc>
        <w:tc>
          <w:tcPr>
            <w:tcW w:w="2277" w:type="dxa"/>
            <w:vAlign w:val="center"/>
          </w:tcPr>
          <w:p w14:paraId="4B4F3F34" w14:textId="77777777" w:rsidR="00C416AF" w:rsidRPr="004459F3" w:rsidRDefault="00C416AF"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1 587</w:t>
            </w:r>
          </w:p>
        </w:tc>
        <w:tc>
          <w:tcPr>
            <w:tcW w:w="2538" w:type="dxa"/>
            <w:vAlign w:val="center"/>
          </w:tcPr>
          <w:p w14:paraId="3A38949E" w14:textId="77777777" w:rsidR="00C416AF" w:rsidRPr="004459F3" w:rsidRDefault="001D23BA" w:rsidP="006326E3">
            <w:pPr>
              <w:spacing w:line="252" w:lineRule="auto"/>
              <w:ind w:right="850"/>
              <w:contextualSpacing/>
              <w:jc w:val="right"/>
              <w:rPr>
                <w:rFonts w:ascii="Calibri" w:hAnsi="Calibri" w:cs="Calibri"/>
                <w:sz w:val="20"/>
                <w:szCs w:val="20"/>
              </w:rPr>
            </w:pPr>
            <w:r w:rsidRPr="004459F3">
              <w:rPr>
                <w:rFonts w:ascii="Calibri" w:hAnsi="Calibri" w:cs="Calibri"/>
                <w:sz w:val="20"/>
                <w:szCs w:val="20"/>
              </w:rPr>
              <w:t>143</w:t>
            </w:r>
          </w:p>
        </w:tc>
        <w:tc>
          <w:tcPr>
            <w:tcW w:w="1275" w:type="dxa"/>
            <w:vAlign w:val="center"/>
          </w:tcPr>
          <w:p w14:paraId="27AA4C5D" w14:textId="77777777" w:rsidR="00C416AF" w:rsidRPr="004459F3" w:rsidRDefault="001D23BA" w:rsidP="006326E3">
            <w:pPr>
              <w:spacing w:line="252" w:lineRule="auto"/>
              <w:ind w:right="57"/>
              <w:contextualSpacing/>
              <w:jc w:val="right"/>
              <w:rPr>
                <w:rFonts w:ascii="Calibri" w:hAnsi="Calibri" w:cs="Calibri"/>
                <w:sz w:val="20"/>
                <w:szCs w:val="20"/>
              </w:rPr>
            </w:pPr>
            <w:r w:rsidRPr="004459F3">
              <w:rPr>
                <w:rFonts w:ascii="Calibri" w:hAnsi="Calibri" w:cs="Calibri"/>
                <w:sz w:val="20"/>
                <w:szCs w:val="20"/>
              </w:rPr>
              <w:t>90,99</w:t>
            </w:r>
            <w:r w:rsidR="00D80621" w:rsidRPr="004459F3">
              <w:rPr>
                <w:rFonts w:ascii="Calibri" w:hAnsi="Calibri" w:cs="Calibri"/>
                <w:sz w:val="20"/>
                <w:szCs w:val="20"/>
              </w:rPr>
              <w:t xml:space="preserve"> %</w:t>
            </w:r>
          </w:p>
        </w:tc>
      </w:tr>
    </w:tbl>
    <w:p w14:paraId="7DB8DD20" w14:textId="2B558EC9" w:rsidR="00C416AF" w:rsidRPr="00654DA2" w:rsidRDefault="00C416AF" w:rsidP="004459F3">
      <w:pPr>
        <w:spacing w:after="0" w:line="252" w:lineRule="auto"/>
        <w:contextualSpacing/>
        <w:rPr>
          <w:rFonts w:cstheme="minorHAnsi"/>
          <w:sz w:val="20"/>
          <w:szCs w:val="20"/>
        </w:rPr>
      </w:pPr>
      <w:r w:rsidRPr="004459F3">
        <w:rPr>
          <w:rFonts w:cstheme="minorHAnsi"/>
          <w:b/>
          <w:bCs/>
          <w:sz w:val="20"/>
          <w:szCs w:val="20"/>
        </w:rPr>
        <w:t>Zdroj:</w:t>
      </w:r>
      <w:r>
        <w:rPr>
          <w:rFonts w:cstheme="minorHAnsi"/>
          <w:sz w:val="20"/>
          <w:szCs w:val="20"/>
        </w:rPr>
        <w:t xml:space="preserve"> ŘSD</w:t>
      </w:r>
      <w:r w:rsidR="003E6FC2">
        <w:rPr>
          <w:rFonts w:cstheme="minorHAnsi"/>
          <w:sz w:val="20"/>
          <w:szCs w:val="20"/>
        </w:rPr>
        <w:t>.</w:t>
      </w:r>
    </w:p>
    <w:p w14:paraId="38080ED5" w14:textId="77777777" w:rsidR="005D263F" w:rsidRDefault="005D263F" w:rsidP="00E3243F">
      <w:pPr>
        <w:spacing w:after="0" w:line="252" w:lineRule="auto"/>
        <w:contextualSpacing/>
        <w:jc w:val="both"/>
        <w:rPr>
          <w:rFonts w:eastAsia="Calibri" w:cstheme="minorHAnsi"/>
          <w:sz w:val="24"/>
          <w:szCs w:val="24"/>
        </w:rPr>
      </w:pPr>
    </w:p>
    <w:p w14:paraId="282DE51C" w14:textId="6616D03E" w:rsidR="00940ABB" w:rsidRDefault="005D263F" w:rsidP="00E3243F">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37 </w:t>
      </w:r>
      <w:r w:rsidR="00940ABB">
        <w:rPr>
          <w:rFonts w:eastAsia="Calibri" w:cstheme="minorHAnsi"/>
          <w:sz w:val="24"/>
          <w:szCs w:val="24"/>
        </w:rPr>
        <w:t xml:space="preserve">O </w:t>
      </w:r>
      <w:r w:rsidR="00F35940">
        <w:rPr>
          <w:rFonts w:eastAsia="Calibri" w:cstheme="minorHAnsi"/>
          <w:sz w:val="24"/>
          <w:szCs w:val="24"/>
        </w:rPr>
        <w:t xml:space="preserve">závazném </w:t>
      </w:r>
      <w:r w:rsidR="00940ABB">
        <w:rPr>
          <w:rFonts w:eastAsia="Calibri" w:cstheme="minorHAnsi"/>
          <w:sz w:val="24"/>
          <w:szCs w:val="24"/>
        </w:rPr>
        <w:t>obsahu novely</w:t>
      </w:r>
      <w:r w:rsidR="00F35940">
        <w:rPr>
          <w:rFonts w:eastAsia="Calibri" w:cstheme="minorHAnsi"/>
          <w:sz w:val="24"/>
          <w:szCs w:val="24"/>
        </w:rPr>
        <w:t xml:space="preserve"> vyhlášky</w:t>
      </w:r>
      <w:r w:rsidR="00940ABB">
        <w:rPr>
          <w:rFonts w:eastAsia="Calibri" w:cstheme="minorHAnsi"/>
          <w:sz w:val="24"/>
          <w:szCs w:val="24"/>
        </w:rPr>
        <w:t xml:space="preserve"> a její aplikaci na VKV se </w:t>
      </w:r>
      <w:r w:rsidR="00A174AA">
        <w:rPr>
          <w:rFonts w:eastAsia="Calibri" w:cstheme="minorHAnsi"/>
          <w:sz w:val="24"/>
          <w:szCs w:val="24"/>
        </w:rPr>
        <w:t xml:space="preserve">ŘSD </w:t>
      </w:r>
      <w:r w:rsidR="00940ABB">
        <w:rPr>
          <w:rFonts w:eastAsia="Calibri" w:cstheme="minorHAnsi"/>
          <w:sz w:val="24"/>
          <w:szCs w:val="24"/>
        </w:rPr>
        <w:t xml:space="preserve">dozvědělo až </w:t>
      </w:r>
      <w:r w:rsidR="00411E39" w:rsidRPr="00DA643F">
        <w:rPr>
          <w:rFonts w:eastAsia="Calibri" w:cstheme="minorHAnsi"/>
          <w:sz w:val="24"/>
          <w:szCs w:val="24"/>
        </w:rPr>
        <w:t>dnem jejího vyhlášení ve Sbírce zákonů, tj. 24. 6. 2024</w:t>
      </w:r>
      <w:r w:rsidR="00F35940">
        <w:rPr>
          <w:rFonts w:eastAsia="Calibri" w:cstheme="minorHAnsi"/>
          <w:sz w:val="24"/>
          <w:szCs w:val="24"/>
        </w:rPr>
        <w:t>, přičemž tato novela nabyla účinnosti dnem 1. 7. 2024</w:t>
      </w:r>
      <w:r w:rsidR="00940ABB" w:rsidRPr="00794030">
        <w:rPr>
          <w:rFonts w:eastAsia="Calibri" w:cstheme="minorHAnsi"/>
          <w:sz w:val="24"/>
          <w:szCs w:val="24"/>
        </w:rPr>
        <w:t>.</w:t>
      </w:r>
      <w:r w:rsidR="00A63514">
        <w:rPr>
          <w:rFonts w:eastAsia="Calibri" w:cstheme="minorHAnsi"/>
          <w:sz w:val="24"/>
          <w:szCs w:val="24"/>
        </w:rPr>
        <w:t xml:space="preserve"> </w:t>
      </w:r>
      <w:r w:rsidR="00F35940">
        <w:rPr>
          <w:rFonts w:eastAsia="Calibri" w:cstheme="minorHAnsi"/>
          <w:sz w:val="24"/>
          <w:szCs w:val="24"/>
        </w:rPr>
        <w:t>ŘSD proto</w:t>
      </w:r>
      <w:r w:rsidR="00F35940" w:rsidRPr="00794030">
        <w:rPr>
          <w:rFonts w:eastAsia="Calibri" w:cstheme="minorHAnsi"/>
          <w:sz w:val="24"/>
          <w:szCs w:val="24"/>
        </w:rPr>
        <w:t xml:space="preserve"> </w:t>
      </w:r>
      <w:r w:rsidR="00F35940">
        <w:rPr>
          <w:rFonts w:eastAsia="Calibri" w:cstheme="minorHAnsi"/>
          <w:sz w:val="24"/>
          <w:szCs w:val="24"/>
        </w:rPr>
        <w:t>n</w:t>
      </w:r>
      <w:r w:rsidR="00940ABB" w:rsidRPr="00794030">
        <w:rPr>
          <w:rFonts w:eastAsia="Calibri" w:cstheme="minorHAnsi"/>
          <w:sz w:val="24"/>
          <w:szCs w:val="24"/>
        </w:rPr>
        <w:t>emohlo včas zajistit provedení potřebných úprav softwar</w:t>
      </w:r>
      <w:r w:rsidR="00940ABB">
        <w:rPr>
          <w:rFonts w:eastAsia="Calibri" w:cstheme="minorHAnsi"/>
          <w:sz w:val="24"/>
          <w:szCs w:val="24"/>
        </w:rPr>
        <w:t>u</w:t>
      </w:r>
      <w:r w:rsidR="00940ABB" w:rsidRPr="00794030">
        <w:rPr>
          <w:rFonts w:eastAsia="Calibri" w:cstheme="minorHAnsi"/>
          <w:sz w:val="24"/>
          <w:szCs w:val="24"/>
        </w:rPr>
        <w:t xml:space="preserve"> vah</w:t>
      </w:r>
      <w:r w:rsidR="00A63514">
        <w:rPr>
          <w:rFonts w:eastAsia="Calibri" w:cstheme="minorHAnsi"/>
          <w:sz w:val="24"/>
          <w:szCs w:val="24"/>
        </w:rPr>
        <w:t xml:space="preserve"> pro VKV</w:t>
      </w:r>
      <w:r w:rsidR="00940ABB" w:rsidRPr="00794030">
        <w:rPr>
          <w:rFonts w:eastAsia="Calibri" w:cstheme="minorHAnsi"/>
          <w:sz w:val="24"/>
          <w:szCs w:val="24"/>
        </w:rPr>
        <w:t xml:space="preserve">. </w:t>
      </w:r>
      <w:r w:rsidR="003E6FC2">
        <w:rPr>
          <w:rFonts w:eastAsia="Calibri" w:cstheme="minorHAnsi"/>
          <w:sz w:val="24"/>
          <w:szCs w:val="24"/>
        </w:rPr>
        <w:t>V d</w:t>
      </w:r>
      <w:r w:rsidR="00940ABB" w:rsidRPr="00794030">
        <w:rPr>
          <w:rFonts w:eastAsia="Calibri" w:cstheme="minorHAnsi"/>
          <w:sz w:val="24"/>
          <w:szCs w:val="24"/>
        </w:rPr>
        <w:t>ůsledk</w:t>
      </w:r>
      <w:r w:rsidR="003E6FC2">
        <w:rPr>
          <w:rFonts w:eastAsia="Calibri" w:cstheme="minorHAnsi"/>
          <w:sz w:val="24"/>
          <w:szCs w:val="24"/>
        </w:rPr>
        <w:t>u</w:t>
      </w:r>
      <w:r w:rsidR="00940ABB" w:rsidRPr="00794030">
        <w:rPr>
          <w:rFonts w:eastAsia="Calibri" w:cstheme="minorHAnsi"/>
          <w:sz w:val="24"/>
          <w:szCs w:val="24"/>
        </w:rPr>
        <w:t xml:space="preserve"> </w:t>
      </w:r>
      <w:r w:rsidR="003E6FC2">
        <w:rPr>
          <w:rFonts w:eastAsia="Calibri" w:cstheme="minorHAnsi"/>
          <w:sz w:val="24"/>
          <w:szCs w:val="24"/>
        </w:rPr>
        <w:t xml:space="preserve">toho byl </w:t>
      </w:r>
      <w:r w:rsidR="0036123D">
        <w:rPr>
          <w:rFonts w:eastAsia="Calibri" w:cstheme="minorHAnsi"/>
          <w:sz w:val="24"/>
          <w:szCs w:val="24"/>
        </w:rPr>
        <w:t>celý systém VKV</w:t>
      </w:r>
      <w:r w:rsidR="0036123D" w:rsidRPr="00794030">
        <w:rPr>
          <w:rFonts w:eastAsia="Calibri" w:cstheme="minorHAnsi"/>
          <w:sz w:val="24"/>
          <w:szCs w:val="24"/>
        </w:rPr>
        <w:t xml:space="preserve"> </w:t>
      </w:r>
      <w:r w:rsidR="00940ABB" w:rsidRPr="00794030">
        <w:rPr>
          <w:rFonts w:eastAsia="Calibri" w:cstheme="minorHAnsi"/>
          <w:sz w:val="24"/>
          <w:szCs w:val="24"/>
        </w:rPr>
        <w:t>v době od července do října 2024</w:t>
      </w:r>
      <w:r w:rsidR="0036123D">
        <w:rPr>
          <w:rFonts w:eastAsia="Calibri" w:cstheme="minorHAnsi"/>
          <w:sz w:val="24"/>
          <w:szCs w:val="24"/>
        </w:rPr>
        <w:t xml:space="preserve"> odstaven z provozu</w:t>
      </w:r>
      <w:r w:rsidR="00A63514">
        <w:rPr>
          <w:rFonts w:eastAsia="Calibri" w:cstheme="minorHAnsi"/>
          <w:sz w:val="24"/>
          <w:szCs w:val="24"/>
        </w:rPr>
        <w:t xml:space="preserve">. </w:t>
      </w:r>
      <w:r w:rsidR="00FE57BD">
        <w:rPr>
          <w:rFonts w:eastAsia="Calibri" w:cstheme="minorHAnsi"/>
          <w:sz w:val="24"/>
          <w:szCs w:val="24"/>
        </w:rPr>
        <w:t>Ke dni 1. 1. 2025 byl</w:t>
      </w:r>
      <w:r w:rsidR="00A63514">
        <w:rPr>
          <w:rFonts w:eastAsia="Calibri" w:cstheme="minorHAnsi"/>
          <w:sz w:val="24"/>
          <w:szCs w:val="24"/>
        </w:rPr>
        <w:t>y</w:t>
      </w:r>
      <w:r w:rsidR="00FE57BD">
        <w:rPr>
          <w:rFonts w:eastAsia="Calibri" w:cstheme="minorHAnsi"/>
          <w:sz w:val="24"/>
          <w:szCs w:val="24"/>
        </w:rPr>
        <w:t xml:space="preserve"> </w:t>
      </w:r>
      <w:r w:rsidR="00A174AA">
        <w:rPr>
          <w:rFonts w:eastAsia="Calibri" w:cstheme="minorHAnsi"/>
          <w:sz w:val="24"/>
          <w:szCs w:val="24"/>
        </w:rPr>
        <w:t>v</w:t>
      </w:r>
      <w:r w:rsidR="00312C05">
        <w:rPr>
          <w:rFonts w:eastAsia="Calibri" w:cstheme="minorHAnsi"/>
          <w:sz w:val="24"/>
          <w:szCs w:val="24"/>
        </w:rPr>
        <w:t xml:space="preserve"> </w:t>
      </w:r>
      <w:r w:rsidR="00A174AA">
        <w:rPr>
          <w:rFonts w:eastAsia="Calibri" w:cstheme="minorHAnsi"/>
          <w:sz w:val="24"/>
          <w:szCs w:val="24"/>
        </w:rPr>
        <w:t>provozu pouze tři váhy pro VKV na dálnicích D5</w:t>
      </w:r>
      <w:r w:rsidR="003F434B">
        <w:rPr>
          <w:rFonts w:eastAsia="Calibri" w:cstheme="minorHAnsi"/>
          <w:sz w:val="24"/>
          <w:szCs w:val="24"/>
        </w:rPr>
        <w:t xml:space="preserve"> (ORP Nýřany)</w:t>
      </w:r>
      <w:r w:rsidR="00A174AA">
        <w:rPr>
          <w:rFonts w:eastAsia="Calibri" w:cstheme="minorHAnsi"/>
          <w:sz w:val="24"/>
          <w:szCs w:val="24"/>
        </w:rPr>
        <w:t>, D8</w:t>
      </w:r>
      <w:r w:rsidR="003F434B">
        <w:rPr>
          <w:rFonts w:eastAsia="Calibri" w:cstheme="minorHAnsi"/>
          <w:sz w:val="24"/>
          <w:szCs w:val="24"/>
        </w:rPr>
        <w:t xml:space="preserve"> (ORP</w:t>
      </w:r>
      <w:r w:rsidR="003E6FC2">
        <w:rPr>
          <w:rFonts w:eastAsia="Calibri" w:cstheme="minorHAnsi"/>
          <w:sz w:val="24"/>
          <w:szCs w:val="24"/>
        </w:rPr>
        <w:t> </w:t>
      </w:r>
      <w:r w:rsidR="003F434B">
        <w:rPr>
          <w:rFonts w:eastAsia="Calibri" w:cstheme="minorHAnsi"/>
          <w:sz w:val="24"/>
          <w:szCs w:val="24"/>
        </w:rPr>
        <w:t>Lovosice)</w:t>
      </w:r>
      <w:r w:rsidR="00A174AA">
        <w:rPr>
          <w:rFonts w:eastAsia="Calibri" w:cstheme="minorHAnsi"/>
          <w:sz w:val="24"/>
          <w:szCs w:val="24"/>
        </w:rPr>
        <w:t xml:space="preserve"> a D4</w:t>
      </w:r>
      <w:r w:rsidR="002D6A47">
        <w:rPr>
          <w:rFonts w:eastAsia="Calibri" w:cstheme="minorHAnsi"/>
          <w:sz w:val="24"/>
          <w:szCs w:val="24"/>
        </w:rPr>
        <w:t>8</w:t>
      </w:r>
      <w:r w:rsidR="00A174AA">
        <w:rPr>
          <w:rFonts w:eastAsia="Calibri" w:cstheme="minorHAnsi"/>
          <w:sz w:val="24"/>
          <w:szCs w:val="24"/>
        </w:rPr>
        <w:t xml:space="preserve"> </w:t>
      </w:r>
      <w:r w:rsidR="003F434B">
        <w:rPr>
          <w:rFonts w:eastAsia="Calibri" w:cstheme="minorHAnsi"/>
          <w:sz w:val="24"/>
          <w:szCs w:val="24"/>
        </w:rPr>
        <w:t xml:space="preserve">(ORP Frýdek-Místek) </w:t>
      </w:r>
      <w:r w:rsidR="00A174AA">
        <w:rPr>
          <w:rFonts w:eastAsia="Calibri" w:cstheme="minorHAnsi"/>
          <w:sz w:val="24"/>
          <w:szCs w:val="24"/>
        </w:rPr>
        <w:t>a váha na dálnici D2 pouze ve směru na Bratislavu</w:t>
      </w:r>
      <w:r w:rsidR="003F434B">
        <w:rPr>
          <w:rFonts w:eastAsia="Calibri" w:cstheme="minorHAnsi"/>
          <w:sz w:val="24"/>
          <w:szCs w:val="24"/>
        </w:rPr>
        <w:t xml:space="preserve"> (ORP Židlochovice)</w:t>
      </w:r>
      <w:r w:rsidR="00A174AA">
        <w:rPr>
          <w:rFonts w:eastAsia="Calibri" w:cstheme="minorHAnsi"/>
          <w:sz w:val="24"/>
          <w:szCs w:val="24"/>
        </w:rPr>
        <w:t>. Zbylé váhy nebyly způsobilé VKV provádět (</w:t>
      </w:r>
      <w:r w:rsidR="00245A45" w:rsidRPr="000F4B0E">
        <w:rPr>
          <w:rFonts w:eastAsia="Calibri" w:cstheme="minorHAnsi"/>
          <w:sz w:val="24"/>
          <w:szCs w:val="24"/>
        </w:rPr>
        <w:t xml:space="preserve">blíže </w:t>
      </w:r>
      <w:r w:rsidR="00A174AA" w:rsidRPr="000F4B0E">
        <w:rPr>
          <w:rFonts w:eastAsia="Calibri" w:cstheme="minorHAnsi"/>
          <w:sz w:val="24"/>
          <w:szCs w:val="24"/>
        </w:rPr>
        <w:t xml:space="preserve">viz tabulka č. </w:t>
      </w:r>
      <w:r w:rsidR="002B00AC" w:rsidRPr="000F4B0E">
        <w:rPr>
          <w:rFonts w:eastAsia="Calibri" w:cstheme="minorHAnsi"/>
          <w:sz w:val="24"/>
          <w:szCs w:val="24"/>
        </w:rPr>
        <w:t>5</w:t>
      </w:r>
      <w:r w:rsidR="00A174AA" w:rsidRPr="000F4B0E">
        <w:rPr>
          <w:rFonts w:eastAsia="Calibri" w:cstheme="minorHAnsi"/>
          <w:sz w:val="24"/>
          <w:szCs w:val="24"/>
        </w:rPr>
        <w:t>).</w:t>
      </w:r>
      <w:r w:rsidR="00A174AA">
        <w:rPr>
          <w:rFonts w:eastAsia="Calibri" w:cstheme="minorHAnsi"/>
          <w:sz w:val="24"/>
          <w:szCs w:val="24"/>
        </w:rPr>
        <w:t xml:space="preserve"> </w:t>
      </w:r>
    </w:p>
    <w:p w14:paraId="03BB33F3" w14:textId="77777777" w:rsidR="00FB0D64" w:rsidRDefault="00FB0D64" w:rsidP="00E3243F">
      <w:pPr>
        <w:spacing w:after="0" w:line="252" w:lineRule="auto"/>
        <w:contextualSpacing/>
        <w:jc w:val="both"/>
        <w:rPr>
          <w:rFonts w:eastAsia="Calibri" w:cstheme="minorHAnsi"/>
          <w:sz w:val="24"/>
          <w:szCs w:val="24"/>
        </w:rPr>
      </w:pPr>
    </w:p>
    <w:p w14:paraId="3FC49D69" w14:textId="77777777" w:rsidR="000D3F5C" w:rsidRDefault="000D3F5C" w:rsidP="000D3F5C">
      <w:pPr>
        <w:keepNext/>
        <w:spacing w:after="0" w:line="252" w:lineRule="auto"/>
        <w:contextualSpacing/>
        <w:jc w:val="both"/>
        <w:rPr>
          <w:b/>
          <w:sz w:val="24"/>
          <w:szCs w:val="24"/>
        </w:rPr>
      </w:pPr>
      <w:r w:rsidRPr="00757200">
        <w:rPr>
          <w:rFonts w:ascii="Calibri" w:eastAsia="Calibri" w:hAnsi="Calibri" w:cs="Calibri"/>
          <w:b/>
          <w:sz w:val="24"/>
          <w:szCs w:val="24"/>
        </w:rPr>
        <w:t xml:space="preserve">Tabulka </w:t>
      </w:r>
      <w:r w:rsidRPr="00A508F5">
        <w:rPr>
          <w:rFonts w:ascii="Calibri" w:eastAsia="Calibri" w:hAnsi="Calibri" w:cs="Calibri"/>
          <w:b/>
          <w:sz w:val="24"/>
          <w:szCs w:val="24"/>
        </w:rPr>
        <w:t xml:space="preserve">č. </w:t>
      </w:r>
      <w:r w:rsidR="002B00AC">
        <w:rPr>
          <w:rFonts w:ascii="Calibri" w:eastAsia="Calibri" w:hAnsi="Calibri" w:cs="Calibri"/>
          <w:b/>
          <w:sz w:val="24"/>
          <w:szCs w:val="24"/>
        </w:rPr>
        <w:t>5</w:t>
      </w:r>
      <w:r w:rsidRPr="00A508F5">
        <w:rPr>
          <w:rFonts w:ascii="Calibri" w:eastAsia="Calibri" w:hAnsi="Calibri" w:cs="Calibri"/>
          <w:b/>
          <w:sz w:val="24"/>
          <w:szCs w:val="24"/>
        </w:rPr>
        <w:t>:</w:t>
      </w:r>
      <w:r w:rsidR="00A174AA" w:rsidRPr="00A508F5">
        <w:rPr>
          <w:rFonts w:ascii="Calibri" w:eastAsia="Calibri" w:hAnsi="Calibri" w:cs="Calibri"/>
          <w:b/>
          <w:sz w:val="24"/>
          <w:szCs w:val="24"/>
        </w:rPr>
        <w:t xml:space="preserve"> </w:t>
      </w:r>
      <w:r w:rsidR="0055723E" w:rsidRPr="00A508F5">
        <w:rPr>
          <w:b/>
          <w:sz w:val="24"/>
          <w:szCs w:val="24"/>
        </w:rPr>
        <w:t>Provozuschopnost</w:t>
      </w:r>
      <w:r w:rsidR="0055723E">
        <w:rPr>
          <w:b/>
          <w:sz w:val="24"/>
          <w:szCs w:val="24"/>
        </w:rPr>
        <w:t xml:space="preserve"> vah pro VKV k </w:t>
      </w:r>
      <w:r w:rsidR="007800FB">
        <w:rPr>
          <w:b/>
          <w:sz w:val="24"/>
          <w:szCs w:val="24"/>
        </w:rPr>
        <w:t>3</w:t>
      </w:r>
      <w:r w:rsidR="0055723E">
        <w:rPr>
          <w:b/>
          <w:sz w:val="24"/>
          <w:szCs w:val="24"/>
        </w:rPr>
        <w:t>1. 1</w:t>
      </w:r>
      <w:r w:rsidR="007800FB">
        <w:rPr>
          <w:b/>
          <w:sz w:val="24"/>
          <w:szCs w:val="24"/>
        </w:rPr>
        <w:t>2</w:t>
      </w:r>
      <w:r w:rsidR="0055723E">
        <w:rPr>
          <w:b/>
          <w:sz w:val="24"/>
          <w:szCs w:val="24"/>
        </w:rPr>
        <w:t>. 202</w:t>
      </w:r>
      <w:r w:rsidR="007800FB">
        <w:rPr>
          <w:b/>
          <w:sz w:val="24"/>
          <w:szCs w:val="24"/>
        </w:rPr>
        <w:t>4</w:t>
      </w:r>
    </w:p>
    <w:p w14:paraId="74D79E75" w14:textId="77777777" w:rsidR="001635CE" w:rsidRPr="001635CE" w:rsidRDefault="001635CE" w:rsidP="000D3F5C">
      <w:pPr>
        <w:keepNext/>
        <w:spacing w:after="0" w:line="252" w:lineRule="auto"/>
        <w:contextualSpacing/>
        <w:jc w:val="both"/>
        <w:rPr>
          <w:rFonts w:ascii="Calibri" w:eastAsia="Calibri" w:hAnsi="Calibri" w:cs="Calibri"/>
          <w:b/>
          <w:sz w:val="6"/>
          <w:szCs w:val="6"/>
        </w:rPr>
      </w:pPr>
    </w:p>
    <w:tbl>
      <w:tblPr>
        <w:tblStyle w:val="Mkatabulky"/>
        <w:tblW w:w="901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74"/>
        <w:gridCol w:w="1474"/>
        <w:gridCol w:w="6066"/>
      </w:tblGrid>
      <w:tr w:rsidR="009C24D1" w:rsidRPr="00757200" w14:paraId="02B504BE" w14:textId="77777777" w:rsidTr="00F41FB9">
        <w:trPr>
          <w:trHeight w:val="680"/>
        </w:trPr>
        <w:tc>
          <w:tcPr>
            <w:tcW w:w="1474" w:type="dxa"/>
            <w:tcBorders>
              <w:top w:val="single" w:sz="8" w:space="0" w:color="auto"/>
              <w:left w:val="single" w:sz="8" w:space="0" w:color="auto"/>
              <w:bottom w:val="single" w:sz="8" w:space="0" w:color="auto"/>
            </w:tcBorders>
            <w:shd w:val="clear" w:color="auto" w:fill="E6E6E6"/>
            <w:vAlign w:val="center"/>
          </w:tcPr>
          <w:p w14:paraId="0EE6DC21" w14:textId="77777777" w:rsidR="009C24D1" w:rsidRPr="004459F3" w:rsidRDefault="009C24D1" w:rsidP="009C24D1">
            <w:pPr>
              <w:spacing w:line="252" w:lineRule="auto"/>
              <w:contextualSpacing/>
              <w:jc w:val="center"/>
              <w:rPr>
                <w:b/>
                <w:sz w:val="20"/>
                <w:szCs w:val="20"/>
              </w:rPr>
            </w:pPr>
            <w:r w:rsidRPr="004459F3">
              <w:rPr>
                <w:rFonts w:ascii="Calibri" w:hAnsi="Calibri" w:cs="Calibri"/>
                <w:b/>
                <w:bCs/>
                <w:color w:val="000000"/>
                <w:sz w:val="20"/>
                <w:szCs w:val="20"/>
              </w:rPr>
              <w:t>Dálnice</w:t>
            </w:r>
          </w:p>
        </w:tc>
        <w:tc>
          <w:tcPr>
            <w:tcW w:w="1474" w:type="dxa"/>
            <w:tcBorders>
              <w:top w:val="single" w:sz="8" w:space="0" w:color="auto"/>
              <w:bottom w:val="single" w:sz="8" w:space="0" w:color="auto"/>
              <w:right w:val="single" w:sz="4" w:space="0" w:color="auto"/>
            </w:tcBorders>
            <w:shd w:val="clear" w:color="auto" w:fill="E6E6E6"/>
            <w:vAlign w:val="center"/>
          </w:tcPr>
          <w:p w14:paraId="49978793" w14:textId="77777777" w:rsidR="009C24D1" w:rsidRPr="004459F3" w:rsidRDefault="009C24D1" w:rsidP="009C24D1">
            <w:pPr>
              <w:spacing w:line="252" w:lineRule="auto"/>
              <w:contextualSpacing/>
              <w:jc w:val="center"/>
              <w:rPr>
                <w:b/>
                <w:sz w:val="20"/>
                <w:szCs w:val="20"/>
              </w:rPr>
            </w:pPr>
            <w:r w:rsidRPr="004459F3">
              <w:rPr>
                <w:rFonts w:ascii="Calibri" w:hAnsi="Calibri" w:cs="Calibri"/>
                <w:b/>
                <w:bCs/>
                <w:color w:val="000000"/>
                <w:sz w:val="20"/>
                <w:szCs w:val="20"/>
              </w:rPr>
              <w:t>ORP</w:t>
            </w:r>
          </w:p>
        </w:tc>
        <w:tc>
          <w:tcPr>
            <w:tcW w:w="6066" w:type="dxa"/>
            <w:tcBorders>
              <w:top w:val="single" w:sz="8" w:space="0" w:color="auto"/>
              <w:left w:val="single" w:sz="4" w:space="0" w:color="auto"/>
              <w:bottom w:val="single" w:sz="8" w:space="0" w:color="auto"/>
              <w:right w:val="single" w:sz="8" w:space="0" w:color="auto"/>
            </w:tcBorders>
            <w:shd w:val="clear" w:color="auto" w:fill="E6E6E6"/>
            <w:vAlign w:val="center"/>
          </w:tcPr>
          <w:p w14:paraId="5538E4F9" w14:textId="77777777" w:rsidR="009C24D1" w:rsidRPr="004459F3" w:rsidRDefault="009C24D1" w:rsidP="009C24D1">
            <w:pPr>
              <w:spacing w:line="252" w:lineRule="auto"/>
              <w:contextualSpacing/>
              <w:jc w:val="center"/>
              <w:rPr>
                <w:b/>
                <w:sz w:val="20"/>
                <w:szCs w:val="20"/>
              </w:rPr>
            </w:pPr>
            <w:r w:rsidRPr="004459F3">
              <w:rPr>
                <w:b/>
                <w:sz w:val="20"/>
                <w:szCs w:val="20"/>
              </w:rPr>
              <w:t xml:space="preserve">Stav váhy </w:t>
            </w:r>
          </w:p>
        </w:tc>
      </w:tr>
      <w:tr w:rsidR="007800FB" w:rsidRPr="00757200" w14:paraId="756350C6" w14:textId="77777777" w:rsidTr="00F41FB9">
        <w:trPr>
          <w:trHeight w:val="340"/>
        </w:trPr>
        <w:tc>
          <w:tcPr>
            <w:tcW w:w="1474" w:type="dxa"/>
            <w:tcBorders>
              <w:top w:val="single" w:sz="8" w:space="0" w:color="auto"/>
              <w:left w:val="single" w:sz="8" w:space="0" w:color="auto"/>
            </w:tcBorders>
            <w:vAlign w:val="center"/>
          </w:tcPr>
          <w:p w14:paraId="7583B028"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D5</w:t>
            </w:r>
          </w:p>
        </w:tc>
        <w:tc>
          <w:tcPr>
            <w:tcW w:w="1474" w:type="dxa"/>
            <w:tcBorders>
              <w:top w:val="single" w:sz="8" w:space="0" w:color="auto"/>
              <w:right w:val="single" w:sz="4" w:space="0" w:color="auto"/>
            </w:tcBorders>
            <w:vAlign w:val="center"/>
          </w:tcPr>
          <w:p w14:paraId="5809E525"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Nýřany</w:t>
            </w:r>
          </w:p>
        </w:tc>
        <w:tc>
          <w:tcPr>
            <w:tcW w:w="6066" w:type="dxa"/>
            <w:tcBorders>
              <w:top w:val="single" w:sz="8" w:space="0" w:color="auto"/>
              <w:left w:val="single" w:sz="4" w:space="0" w:color="auto"/>
              <w:right w:val="single" w:sz="8" w:space="0" w:color="auto"/>
            </w:tcBorders>
            <w:vAlign w:val="center"/>
          </w:tcPr>
          <w:p w14:paraId="0EA89B87" w14:textId="077D634D" w:rsidR="007800FB" w:rsidRPr="004459F3" w:rsidRDefault="007800FB" w:rsidP="00C1024C">
            <w:pPr>
              <w:spacing w:line="252" w:lineRule="auto"/>
              <w:contextualSpacing/>
              <w:rPr>
                <w:sz w:val="20"/>
                <w:szCs w:val="20"/>
              </w:rPr>
            </w:pPr>
            <w:r w:rsidRPr="004459F3">
              <w:rPr>
                <w:rFonts w:ascii="Calibri" w:hAnsi="Calibri" w:cs="Calibri"/>
                <w:sz w:val="20"/>
                <w:szCs w:val="20"/>
              </w:rPr>
              <w:t xml:space="preserve">Váha ověřena dne 19. 12. 2024, předávání vážních lístků ORP </w:t>
            </w:r>
            <w:r w:rsidR="00BE78ED" w:rsidRPr="004459F3">
              <w:rPr>
                <w:rFonts w:ascii="Calibri" w:hAnsi="Calibri" w:cs="Calibri"/>
                <w:sz w:val="20"/>
                <w:szCs w:val="20"/>
              </w:rPr>
              <w:t xml:space="preserve">bude </w:t>
            </w:r>
            <w:r w:rsidRPr="004459F3">
              <w:rPr>
                <w:rFonts w:ascii="Calibri" w:hAnsi="Calibri" w:cs="Calibri"/>
                <w:sz w:val="20"/>
                <w:szCs w:val="20"/>
              </w:rPr>
              <w:t>probíh</w:t>
            </w:r>
            <w:r w:rsidR="00BE78ED" w:rsidRPr="004459F3">
              <w:rPr>
                <w:rFonts w:ascii="Calibri" w:hAnsi="Calibri" w:cs="Calibri"/>
                <w:sz w:val="20"/>
                <w:szCs w:val="20"/>
              </w:rPr>
              <w:t>at</w:t>
            </w:r>
            <w:r w:rsidRPr="004459F3">
              <w:rPr>
                <w:rFonts w:ascii="Calibri" w:hAnsi="Calibri" w:cs="Calibri"/>
                <w:sz w:val="20"/>
                <w:szCs w:val="20"/>
              </w:rPr>
              <w:t xml:space="preserve"> od 1. 1. 2025.</w:t>
            </w:r>
          </w:p>
        </w:tc>
      </w:tr>
      <w:tr w:rsidR="007800FB" w:rsidRPr="00757200" w14:paraId="64FB8AF2" w14:textId="77777777" w:rsidTr="00F41FB9">
        <w:trPr>
          <w:trHeight w:val="340"/>
        </w:trPr>
        <w:tc>
          <w:tcPr>
            <w:tcW w:w="1474" w:type="dxa"/>
            <w:tcBorders>
              <w:left w:val="single" w:sz="8" w:space="0" w:color="auto"/>
            </w:tcBorders>
            <w:vAlign w:val="center"/>
          </w:tcPr>
          <w:p w14:paraId="7E1EA7BF" w14:textId="77777777" w:rsidR="007800FB" w:rsidRPr="004459F3" w:rsidRDefault="007800FB" w:rsidP="00C1024C">
            <w:pPr>
              <w:spacing w:line="252" w:lineRule="auto"/>
              <w:contextualSpacing/>
              <w:jc w:val="center"/>
              <w:rPr>
                <w:b/>
                <w:sz w:val="20"/>
                <w:szCs w:val="20"/>
              </w:rPr>
            </w:pPr>
            <w:r w:rsidRPr="004459F3">
              <w:rPr>
                <w:rFonts w:ascii="Calibri" w:hAnsi="Calibri" w:cs="Calibri"/>
                <w:color w:val="000000"/>
                <w:sz w:val="20"/>
                <w:szCs w:val="20"/>
              </w:rPr>
              <w:t>D35</w:t>
            </w:r>
          </w:p>
        </w:tc>
        <w:tc>
          <w:tcPr>
            <w:tcW w:w="1474" w:type="dxa"/>
            <w:tcBorders>
              <w:right w:val="single" w:sz="4" w:space="0" w:color="auto"/>
            </w:tcBorders>
            <w:vAlign w:val="center"/>
          </w:tcPr>
          <w:p w14:paraId="79165946" w14:textId="77777777" w:rsidR="007800FB" w:rsidRPr="004459F3" w:rsidRDefault="007800FB" w:rsidP="00C1024C">
            <w:pPr>
              <w:spacing w:line="252" w:lineRule="auto"/>
              <w:contextualSpacing/>
              <w:jc w:val="center"/>
              <w:rPr>
                <w:b/>
                <w:sz w:val="20"/>
                <w:szCs w:val="20"/>
              </w:rPr>
            </w:pPr>
            <w:r w:rsidRPr="004459F3">
              <w:rPr>
                <w:rFonts w:ascii="Calibri" w:hAnsi="Calibri" w:cs="Calibri"/>
                <w:color w:val="000000"/>
                <w:sz w:val="20"/>
                <w:szCs w:val="20"/>
              </w:rPr>
              <w:t>Olomouc</w:t>
            </w:r>
          </w:p>
        </w:tc>
        <w:tc>
          <w:tcPr>
            <w:tcW w:w="6066" w:type="dxa"/>
            <w:tcBorders>
              <w:left w:val="single" w:sz="4" w:space="0" w:color="auto"/>
              <w:right w:val="single" w:sz="8" w:space="0" w:color="auto"/>
            </w:tcBorders>
            <w:vAlign w:val="center"/>
          </w:tcPr>
          <w:p w14:paraId="696BBB41" w14:textId="2B51F157" w:rsidR="007800FB" w:rsidRPr="004459F3" w:rsidRDefault="007800FB" w:rsidP="00C1024C">
            <w:pPr>
              <w:spacing w:line="252" w:lineRule="auto"/>
              <w:contextualSpacing/>
              <w:rPr>
                <w:rFonts w:ascii="Calibri" w:hAnsi="Calibri" w:cs="Calibri"/>
                <w:sz w:val="20"/>
                <w:szCs w:val="20"/>
              </w:rPr>
            </w:pPr>
            <w:r w:rsidRPr="004459F3">
              <w:rPr>
                <w:rFonts w:ascii="Calibri" w:hAnsi="Calibri" w:cs="Calibri"/>
                <w:sz w:val="20"/>
                <w:szCs w:val="20"/>
              </w:rPr>
              <w:t>Váha mimo provoz, ne</w:t>
            </w:r>
            <w:r w:rsidR="003E6FC2">
              <w:rPr>
                <w:rFonts w:ascii="Calibri" w:hAnsi="Calibri" w:cs="Calibri"/>
                <w:sz w:val="20"/>
                <w:szCs w:val="20"/>
              </w:rPr>
              <w:t xml:space="preserve">ní </w:t>
            </w:r>
            <w:r w:rsidRPr="004459F3">
              <w:rPr>
                <w:rFonts w:ascii="Calibri" w:hAnsi="Calibri" w:cs="Calibri"/>
                <w:sz w:val="20"/>
                <w:szCs w:val="20"/>
              </w:rPr>
              <w:t>ověřena a předávání vážních lístků ORP neprobíhá.</w:t>
            </w:r>
          </w:p>
        </w:tc>
      </w:tr>
      <w:tr w:rsidR="007800FB" w:rsidRPr="00757200" w14:paraId="5FC44CC8" w14:textId="77777777" w:rsidTr="00F41FB9">
        <w:trPr>
          <w:trHeight w:val="340"/>
        </w:trPr>
        <w:tc>
          <w:tcPr>
            <w:tcW w:w="1474" w:type="dxa"/>
            <w:tcBorders>
              <w:left w:val="single" w:sz="8" w:space="0" w:color="auto"/>
            </w:tcBorders>
            <w:vAlign w:val="center"/>
          </w:tcPr>
          <w:p w14:paraId="210E5A0E"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D2</w:t>
            </w:r>
          </w:p>
        </w:tc>
        <w:tc>
          <w:tcPr>
            <w:tcW w:w="1474" w:type="dxa"/>
            <w:tcBorders>
              <w:right w:val="single" w:sz="4" w:space="0" w:color="auto"/>
            </w:tcBorders>
            <w:vAlign w:val="center"/>
          </w:tcPr>
          <w:p w14:paraId="3EA19364"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 xml:space="preserve">Židlochovice </w:t>
            </w:r>
          </w:p>
        </w:tc>
        <w:tc>
          <w:tcPr>
            <w:tcW w:w="6066" w:type="dxa"/>
            <w:tcBorders>
              <w:left w:val="single" w:sz="4" w:space="0" w:color="auto"/>
              <w:right w:val="single" w:sz="8" w:space="0" w:color="auto"/>
            </w:tcBorders>
            <w:vAlign w:val="center"/>
          </w:tcPr>
          <w:p w14:paraId="57A04808" w14:textId="37C2A674" w:rsidR="007800FB" w:rsidRPr="004459F3" w:rsidRDefault="007800FB" w:rsidP="00C1024C">
            <w:pPr>
              <w:spacing w:line="252" w:lineRule="auto"/>
              <w:contextualSpacing/>
              <w:rPr>
                <w:rFonts w:ascii="Calibri" w:hAnsi="Calibri" w:cs="Calibri"/>
                <w:sz w:val="20"/>
                <w:szCs w:val="20"/>
              </w:rPr>
            </w:pPr>
            <w:r w:rsidRPr="004459F3">
              <w:rPr>
                <w:rFonts w:ascii="Calibri" w:hAnsi="Calibri" w:cs="Calibri"/>
                <w:sz w:val="20"/>
                <w:szCs w:val="20"/>
              </w:rPr>
              <w:t>Vpravo</w:t>
            </w:r>
            <w:r w:rsidR="00CE41BF" w:rsidRPr="004459F3">
              <w:rPr>
                <w:rFonts w:ascii="Calibri" w:hAnsi="Calibri" w:cs="Calibri"/>
                <w:sz w:val="20"/>
                <w:szCs w:val="20"/>
              </w:rPr>
              <w:t xml:space="preserve"> (směr Brno)</w:t>
            </w:r>
            <w:r w:rsidRPr="004459F3">
              <w:rPr>
                <w:rFonts w:ascii="Calibri" w:hAnsi="Calibri" w:cs="Calibri"/>
                <w:sz w:val="20"/>
                <w:szCs w:val="20"/>
              </w:rPr>
              <w:t xml:space="preserve">: </w:t>
            </w:r>
            <w:r w:rsidR="003E6FC2">
              <w:rPr>
                <w:rFonts w:ascii="Calibri" w:hAnsi="Calibri" w:cs="Calibri"/>
                <w:sz w:val="20"/>
                <w:szCs w:val="20"/>
              </w:rPr>
              <w:t>p</w:t>
            </w:r>
            <w:r w:rsidRPr="004459F3">
              <w:rPr>
                <w:rFonts w:ascii="Calibri" w:hAnsi="Calibri" w:cs="Calibri"/>
                <w:sz w:val="20"/>
                <w:szCs w:val="20"/>
              </w:rPr>
              <w:t xml:space="preserve">ředávání vážních lístků ORP obnoveno </w:t>
            </w:r>
            <w:r w:rsidR="00526C63">
              <w:rPr>
                <w:rFonts w:ascii="Calibri" w:hAnsi="Calibri" w:cs="Calibri"/>
                <w:sz w:val="20"/>
                <w:szCs w:val="20"/>
              </w:rPr>
              <w:br/>
            </w:r>
            <w:r w:rsidRPr="004459F3">
              <w:rPr>
                <w:rFonts w:ascii="Calibri" w:hAnsi="Calibri" w:cs="Calibri"/>
                <w:sz w:val="20"/>
                <w:szCs w:val="20"/>
              </w:rPr>
              <w:t>dne 15. 10. 2024, váha ověřena.</w:t>
            </w:r>
          </w:p>
          <w:p w14:paraId="3AF8398B" w14:textId="01590F1A" w:rsidR="007800FB" w:rsidRPr="004459F3" w:rsidRDefault="007800FB" w:rsidP="00C1024C">
            <w:pPr>
              <w:spacing w:line="252" w:lineRule="auto"/>
              <w:contextualSpacing/>
              <w:rPr>
                <w:sz w:val="20"/>
                <w:szCs w:val="20"/>
              </w:rPr>
            </w:pPr>
            <w:r w:rsidRPr="004459F3">
              <w:rPr>
                <w:sz w:val="20"/>
                <w:szCs w:val="20"/>
              </w:rPr>
              <w:t>Vlevo</w:t>
            </w:r>
            <w:r w:rsidR="00CE41BF" w:rsidRPr="004459F3">
              <w:rPr>
                <w:sz w:val="20"/>
                <w:szCs w:val="20"/>
              </w:rPr>
              <w:t xml:space="preserve"> (směr Lanžhot)</w:t>
            </w:r>
            <w:r w:rsidRPr="004459F3">
              <w:rPr>
                <w:sz w:val="20"/>
                <w:szCs w:val="20"/>
              </w:rPr>
              <w:t>:</w:t>
            </w:r>
            <w:r w:rsidRPr="004459F3">
              <w:rPr>
                <w:rFonts w:ascii="Calibri" w:hAnsi="Calibri" w:cs="Calibri"/>
                <w:sz w:val="20"/>
                <w:szCs w:val="20"/>
              </w:rPr>
              <w:t xml:space="preserve"> </w:t>
            </w:r>
            <w:r w:rsidR="003E6FC2">
              <w:rPr>
                <w:rFonts w:ascii="Calibri" w:hAnsi="Calibri" w:cs="Calibri"/>
                <w:sz w:val="20"/>
                <w:szCs w:val="20"/>
              </w:rPr>
              <w:t>p</w:t>
            </w:r>
            <w:r w:rsidRPr="004459F3">
              <w:rPr>
                <w:rFonts w:ascii="Calibri" w:hAnsi="Calibri" w:cs="Calibri"/>
                <w:sz w:val="20"/>
                <w:szCs w:val="20"/>
              </w:rPr>
              <w:t>ředávání vážních lístků ORP obnoveno dne 15.</w:t>
            </w:r>
            <w:r w:rsidR="00526C63">
              <w:rPr>
                <w:rFonts w:ascii="Calibri" w:hAnsi="Calibri" w:cs="Calibri"/>
                <w:sz w:val="20"/>
                <w:szCs w:val="20"/>
              </w:rPr>
              <w:t> </w:t>
            </w:r>
            <w:r w:rsidRPr="004459F3">
              <w:rPr>
                <w:rFonts w:ascii="Calibri" w:hAnsi="Calibri" w:cs="Calibri"/>
                <w:sz w:val="20"/>
                <w:szCs w:val="20"/>
              </w:rPr>
              <w:t xml:space="preserve">10. 2024; od 1. 1. 2025 </w:t>
            </w:r>
            <w:r w:rsidR="00BE78ED" w:rsidRPr="004459F3">
              <w:rPr>
                <w:rFonts w:ascii="Calibri" w:hAnsi="Calibri" w:cs="Calibri"/>
                <w:sz w:val="20"/>
                <w:szCs w:val="20"/>
              </w:rPr>
              <w:t xml:space="preserve">bude </w:t>
            </w:r>
            <w:r w:rsidRPr="004459F3">
              <w:rPr>
                <w:rFonts w:ascii="Calibri" w:hAnsi="Calibri" w:cs="Calibri"/>
                <w:sz w:val="20"/>
                <w:szCs w:val="20"/>
              </w:rPr>
              <w:t xml:space="preserve">váha bez ověření, předávání vážních lístků ORP </w:t>
            </w:r>
            <w:r w:rsidR="00BE78ED" w:rsidRPr="004459F3">
              <w:rPr>
                <w:rFonts w:ascii="Calibri" w:hAnsi="Calibri" w:cs="Calibri"/>
                <w:sz w:val="20"/>
                <w:szCs w:val="20"/>
              </w:rPr>
              <w:t xml:space="preserve">nebude </w:t>
            </w:r>
            <w:r w:rsidRPr="004459F3">
              <w:rPr>
                <w:rFonts w:ascii="Calibri" w:hAnsi="Calibri" w:cs="Calibri"/>
                <w:sz w:val="20"/>
                <w:szCs w:val="20"/>
              </w:rPr>
              <w:t>probíh</w:t>
            </w:r>
            <w:r w:rsidR="00BE78ED" w:rsidRPr="004459F3">
              <w:rPr>
                <w:rFonts w:ascii="Calibri" w:hAnsi="Calibri" w:cs="Calibri"/>
                <w:sz w:val="20"/>
                <w:szCs w:val="20"/>
              </w:rPr>
              <w:t>at</w:t>
            </w:r>
            <w:r w:rsidRPr="004459F3">
              <w:rPr>
                <w:rFonts w:ascii="Calibri" w:hAnsi="Calibri" w:cs="Calibri"/>
                <w:sz w:val="20"/>
                <w:szCs w:val="20"/>
              </w:rPr>
              <w:t>.</w:t>
            </w:r>
          </w:p>
        </w:tc>
      </w:tr>
      <w:tr w:rsidR="007800FB" w:rsidRPr="00757200" w14:paraId="2E43C7D8" w14:textId="77777777" w:rsidTr="00F41FB9">
        <w:trPr>
          <w:trHeight w:val="340"/>
        </w:trPr>
        <w:tc>
          <w:tcPr>
            <w:tcW w:w="1474" w:type="dxa"/>
            <w:tcBorders>
              <w:left w:val="single" w:sz="8" w:space="0" w:color="auto"/>
            </w:tcBorders>
            <w:vAlign w:val="center"/>
          </w:tcPr>
          <w:p w14:paraId="08C272D8"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D8</w:t>
            </w:r>
          </w:p>
        </w:tc>
        <w:tc>
          <w:tcPr>
            <w:tcW w:w="1474" w:type="dxa"/>
            <w:tcBorders>
              <w:right w:val="single" w:sz="4" w:space="0" w:color="auto"/>
            </w:tcBorders>
            <w:vAlign w:val="center"/>
          </w:tcPr>
          <w:p w14:paraId="26BC884F" w14:textId="77777777" w:rsidR="007800FB" w:rsidRPr="004459F3" w:rsidRDefault="007800FB" w:rsidP="00C1024C">
            <w:pPr>
              <w:spacing w:line="252" w:lineRule="auto"/>
              <w:contextualSpacing/>
              <w:jc w:val="center"/>
              <w:rPr>
                <w:sz w:val="20"/>
                <w:szCs w:val="20"/>
              </w:rPr>
            </w:pPr>
            <w:r w:rsidRPr="004459F3">
              <w:rPr>
                <w:rFonts w:ascii="Calibri" w:hAnsi="Calibri" w:cs="Calibri"/>
                <w:color w:val="000000"/>
                <w:sz w:val="20"/>
                <w:szCs w:val="20"/>
              </w:rPr>
              <w:t>Lovosice</w:t>
            </w:r>
          </w:p>
        </w:tc>
        <w:tc>
          <w:tcPr>
            <w:tcW w:w="6066" w:type="dxa"/>
            <w:tcBorders>
              <w:left w:val="single" w:sz="4" w:space="0" w:color="auto"/>
              <w:right w:val="single" w:sz="8" w:space="0" w:color="auto"/>
            </w:tcBorders>
            <w:vAlign w:val="center"/>
          </w:tcPr>
          <w:p w14:paraId="29C60F40" w14:textId="77777777" w:rsidR="007800FB" w:rsidRPr="004459F3" w:rsidRDefault="007800FB" w:rsidP="00C1024C">
            <w:pPr>
              <w:spacing w:line="252" w:lineRule="auto"/>
              <w:contextualSpacing/>
              <w:rPr>
                <w:rFonts w:ascii="Calibri" w:hAnsi="Calibri" w:cs="Calibri"/>
                <w:sz w:val="20"/>
                <w:szCs w:val="20"/>
              </w:rPr>
            </w:pPr>
            <w:r w:rsidRPr="004459F3">
              <w:rPr>
                <w:rFonts w:ascii="Calibri" w:hAnsi="Calibri" w:cs="Calibri"/>
                <w:sz w:val="20"/>
                <w:szCs w:val="20"/>
              </w:rPr>
              <w:t>Váha ověřena dne 25. 11. 2024, předávání vážních lístků ORP obnoveno dne 27. 11. 2024.</w:t>
            </w:r>
          </w:p>
        </w:tc>
      </w:tr>
      <w:tr w:rsidR="009C24D1" w:rsidRPr="00757200" w14:paraId="4DC091A6" w14:textId="77777777" w:rsidTr="00F41FB9">
        <w:trPr>
          <w:trHeight w:val="340"/>
        </w:trPr>
        <w:tc>
          <w:tcPr>
            <w:tcW w:w="1474" w:type="dxa"/>
            <w:tcBorders>
              <w:left w:val="single" w:sz="8" w:space="0" w:color="auto"/>
            </w:tcBorders>
            <w:vAlign w:val="center"/>
          </w:tcPr>
          <w:p w14:paraId="795668C8" w14:textId="77777777" w:rsidR="009C24D1" w:rsidRPr="004459F3" w:rsidRDefault="009C24D1" w:rsidP="009C24D1">
            <w:pPr>
              <w:spacing w:line="252" w:lineRule="auto"/>
              <w:contextualSpacing/>
              <w:jc w:val="center"/>
              <w:rPr>
                <w:sz w:val="20"/>
                <w:szCs w:val="20"/>
              </w:rPr>
            </w:pPr>
            <w:r w:rsidRPr="004459F3">
              <w:rPr>
                <w:rFonts w:ascii="Calibri" w:hAnsi="Calibri" w:cs="Calibri"/>
                <w:color w:val="000000"/>
                <w:sz w:val="20"/>
                <w:szCs w:val="20"/>
              </w:rPr>
              <w:t>D1</w:t>
            </w:r>
          </w:p>
        </w:tc>
        <w:tc>
          <w:tcPr>
            <w:tcW w:w="1474" w:type="dxa"/>
            <w:tcBorders>
              <w:right w:val="single" w:sz="4" w:space="0" w:color="auto"/>
            </w:tcBorders>
            <w:vAlign w:val="center"/>
          </w:tcPr>
          <w:p w14:paraId="02FEAD28" w14:textId="77777777" w:rsidR="009C24D1" w:rsidRPr="004459F3" w:rsidRDefault="009C24D1" w:rsidP="009C24D1">
            <w:pPr>
              <w:spacing w:line="252" w:lineRule="auto"/>
              <w:contextualSpacing/>
              <w:jc w:val="center"/>
              <w:rPr>
                <w:sz w:val="20"/>
                <w:szCs w:val="20"/>
              </w:rPr>
            </w:pPr>
            <w:r w:rsidRPr="004459F3">
              <w:rPr>
                <w:rFonts w:ascii="Calibri" w:hAnsi="Calibri" w:cs="Calibri"/>
                <w:color w:val="000000"/>
                <w:sz w:val="20"/>
                <w:szCs w:val="20"/>
              </w:rPr>
              <w:t>Jihlava</w:t>
            </w:r>
          </w:p>
        </w:tc>
        <w:tc>
          <w:tcPr>
            <w:tcW w:w="6066" w:type="dxa"/>
            <w:tcBorders>
              <w:left w:val="single" w:sz="4" w:space="0" w:color="auto"/>
              <w:right w:val="single" w:sz="8" w:space="0" w:color="auto"/>
            </w:tcBorders>
            <w:vAlign w:val="center"/>
          </w:tcPr>
          <w:p w14:paraId="7F458B9A" w14:textId="77777777" w:rsidR="00FE57BD" w:rsidRPr="004459F3" w:rsidRDefault="009C24D1" w:rsidP="009C24D1">
            <w:pPr>
              <w:ind w:hanging="9"/>
              <w:rPr>
                <w:rFonts w:ascii="Calibri" w:hAnsi="Calibri" w:cs="Calibri"/>
                <w:sz w:val="20"/>
                <w:szCs w:val="20"/>
              </w:rPr>
            </w:pPr>
            <w:r w:rsidRPr="004459F3">
              <w:rPr>
                <w:rFonts w:ascii="Calibri" w:hAnsi="Calibri" w:cs="Calibri"/>
                <w:sz w:val="20"/>
                <w:szCs w:val="20"/>
              </w:rPr>
              <w:t xml:space="preserve">Předávání </w:t>
            </w:r>
            <w:r w:rsidR="00FE57BD" w:rsidRPr="004459F3">
              <w:rPr>
                <w:rFonts w:ascii="Calibri" w:hAnsi="Calibri" w:cs="Calibri"/>
                <w:sz w:val="20"/>
                <w:szCs w:val="20"/>
              </w:rPr>
              <w:t>vážních lístků</w:t>
            </w:r>
            <w:r w:rsidRPr="004459F3">
              <w:rPr>
                <w:rFonts w:ascii="Calibri" w:hAnsi="Calibri" w:cs="Calibri"/>
                <w:sz w:val="20"/>
                <w:szCs w:val="20"/>
              </w:rPr>
              <w:t xml:space="preserve"> ORP obnoveno </w:t>
            </w:r>
            <w:r w:rsidR="00FE57BD" w:rsidRPr="004459F3">
              <w:rPr>
                <w:rFonts w:ascii="Calibri" w:hAnsi="Calibri" w:cs="Calibri"/>
                <w:sz w:val="20"/>
                <w:szCs w:val="20"/>
              </w:rPr>
              <w:t xml:space="preserve">dne </w:t>
            </w:r>
            <w:r w:rsidRPr="004459F3">
              <w:rPr>
                <w:rFonts w:ascii="Calibri" w:hAnsi="Calibri" w:cs="Calibri"/>
                <w:sz w:val="20"/>
                <w:szCs w:val="20"/>
              </w:rPr>
              <w:t xml:space="preserve">25. 10. 2024; </w:t>
            </w:r>
          </w:p>
          <w:p w14:paraId="2A099C5E" w14:textId="41F5BD3A" w:rsidR="009C24D1" w:rsidRPr="004459F3" w:rsidRDefault="00FE57BD" w:rsidP="009C24D1">
            <w:pPr>
              <w:ind w:hanging="9"/>
              <w:rPr>
                <w:sz w:val="20"/>
                <w:szCs w:val="20"/>
              </w:rPr>
            </w:pPr>
            <w:r w:rsidRPr="004459F3">
              <w:rPr>
                <w:rFonts w:ascii="Calibri" w:hAnsi="Calibri" w:cs="Calibri"/>
                <w:sz w:val="20"/>
                <w:szCs w:val="20"/>
              </w:rPr>
              <w:t>od</w:t>
            </w:r>
            <w:r w:rsidR="009C24D1" w:rsidRPr="004459F3">
              <w:rPr>
                <w:rFonts w:ascii="Calibri" w:hAnsi="Calibri" w:cs="Calibri"/>
                <w:sz w:val="20"/>
                <w:szCs w:val="20"/>
              </w:rPr>
              <w:t xml:space="preserve"> 1. 1. 2025 </w:t>
            </w:r>
            <w:r w:rsidR="00BE78ED" w:rsidRPr="004459F3">
              <w:rPr>
                <w:rFonts w:ascii="Calibri" w:hAnsi="Calibri" w:cs="Calibri"/>
                <w:sz w:val="20"/>
                <w:szCs w:val="20"/>
              </w:rPr>
              <w:t xml:space="preserve">bude </w:t>
            </w:r>
            <w:r w:rsidR="009C24D1" w:rsidRPr="004459F3">
              <w:rPr>
                <w:rFonts w:ascii="Calibri" w:hAnsi="Calibri" w:cs="Calibri"/>
                <w:sz w:val="20"/>
                <w:szCs w:val="20"/>
              </w:rPr>
              <w:t>váha bez ověření</w:t>
            </w:r>
            <w:r w:rsidRPr="004459F3">
              <w:rPr>
                <w:rFonts w:ascii="Calibri" w:hAnsi="Calibri" w:cs="Calibri"/>
                <w:sz w:val="20"/>
                <w:szCs w:val="20"/>
              </w:rPr>
              <w:t xml:space="preserve">, </w:t>
            </w:r>
            <w:r w:rsidR="009C24D1" w:rsidRPr="004459F3">
              <w:rPr>
                <w:rFonts w:ascii="Calibri" w:hAnsi="Calibri" w:cs="Calibri"/>
                <w:sz w:val="20"/>
                <w:szCs w:val="20"/>
              </w:rPr>
              <w:t>předávání</w:t>
            </w:r>
            <w:r w:rsidRPr="004459F3">
              <w:rPr>
                <w:rFonts w:ascii="Calibri" w:hAnsi="Calibri" w:cs="Calibri"/>
                <w:sz w:val="20"/>
                <w:szCs w:val="20"/>
              </w:rPr>
              <w:t xml:space="preserve"> vážních lístků</w:t>
            </w:r>
            <w:r w:rsidR="009C24D1" w:rsidRPr="004459F3">
              <w:rPr>
                <w:rFonts w:ascii="Calibri" w:hAnsi="Calibri" w:cs="Calibri"/>
                <w:sz w:val="20"/>
                <w:szCs w:val="20"/>
              </w:rPr>
              <w:t xml:space="preserve"> ORP ne</w:t>
            </w:r>
            <w:r w:rsidR="00BE78ED" w:rsidRPr="004459F3">
              <w:rPr>
                <w:rFonts w:ascii="Calibri" w:hAnsi="Calibri" w:cs="Calibri"/>
                <w:sz w:val="20"/>
                <w:szCs w:val="20"/>
              </w:rPr>
              <w:t xml:space="preserve">bude </w:t>
            </w:r>
            <w:r w:rsidR="009C24D1" w:rsidRPr="004459F3">
              <w:rPr>
                <w:rFonts w:ascii="Calibri" w:hAnsi="Calibri" w:cs="Calibri"/>
                <w:sz w:val="20"/>
                <w:szCs w:val="20"/>
              </w:rPr>
              <w:t>probíh</w:t>
            </w:r>
            <w:r w:rsidR="00BE78ED" w:rsidRPr="004459F3">
              <w:rPr>
                <w:rFonts w:ascii="Calibri" w:hAnsi="Calibri" w:cs="Calibri"/>
                <w:sz w:val="20"/>
                <w:szCs w:val="20"/>
              </w:rPr>
              <w:t>at</w:t>
            </w:r>
            <w:r w:rsidR="009C24D1" w:rsidRPr="004459F3">
              <w:rPr>
                <w:rFonts w:ascii="Calibri" w:hAnsi="Calibri" w:cs="Calibri"/>
                <w:sz w:val="20"/>
                <w:szCs w:val="20"/>
              </w:rPr>
              <w:t>.</w:t>
            </w:r>
          </w:p>
        </w:tc>
      </w:tr>
      <w:tr w:rsidR="007800FB" w:rsidRPr="00757200" w14:paraId="3CC53A46" w14:textId="77777777" w:rsidTr="00F41FB9">
        <w:trPr>
          <w:trHeight w:val="340"/>
        </w:trPr>
        <w:tc>
          <w:tcPr>
            <w:tcW w:w="1474" w:type="dxa"/>
            <w:tcBorders>
              <w:left w:val="single" w:sz="8" w:space="0" w:color="auto"/>
            </w:tcBorders>
            <w:vAlign w:val="center"/>
          </w:tcPr>
          <w:p w14:paraId="6FA05C6D" w14:textId="77777777" w:rsidR="007800FB" w:rsidRPr="004459F3" w:rsidRDefault="007800FB" w:rsidP="00C1024C">
            <w:pPr>
              <w:spacing w:line="252" w:lineRule="auto"/>
              <w:contextualSpacing/>
              <w:jc w:val="center"/>
              <w:rPr>
                <w:rFonts w:ascii="Calibri" w:hAnsi="Calibri" w:cs="Calibri"/>
                <w:color w:val="000000"/>
                <w:sz w:val="20"/>
                <w:szCs w:val="20"/>
              </w:rPr>
            </w:pPr>
            <w:r w:rsidRPr="004459F3">
              <w:rPr>
                <w:rFonts w:ascii="Calibri" w:hAnsi="Calibri" w:cs="Calibri"/>
                <w:color w:val="000000"/>
                <w:sz w:val="20"/>
                <w:szCs w:val="20"/>
              </w:rPr>
              <w:t>D48</w:t>
            </w:r>
          </w:p>
        </w:tc>
        <w:tc>
          <w:tcPr>
            <w:tcW w:w="1474" w:type="dxa"/>
            <w:tcBorders>
              <w:right w:val="single" w:sz="4" w:space="0" w:color="auto"/>
            </w:tcBorders>
            <w:vAlign w:val="center"/>
          </w:tcPr>
          <w:p w14:paraId="7606BA9B" w14:textId="77777777" w:rsidR="007800FB" w:rsidRPr="004459F3" w:rsidRDefault="007800FB" w:rsidP="00C1024C">
            <w:pPr>
              <w:spacing w:line="252" w:lineRule="auto"/>
              <w:contextualSpacing/>
              <w:jc w:val="center"/>
              <w:rPr>
                <w:rFonts w:ascii="Calibri" w:hAnsi="Calibri" w:cs="Calibri"/>
                <w:color w:val="000000"/>
                <w:sz w:val="20"/>
                <w:szCs w:val="20"/>
              </w:rPr>
            </w:pPr>
            <w:r w:rsidRPr="004459F3">
              <w:rPr>
                <w:rFonts w:ascii="Calibri" w:hAnsi="Calibri" w:cs="Calibri"/>
                <w:color w:val="000000"/>
                <w:sz w:val="20"/>
                <w:szCs w:val="20"/>
              </w:rPr>
              <w:t>Frýdek-Místek</w:t>
            </w:r>
          </w:p>
        </w:tc>
        <w:tc>
          <w:tcPr>
            <w:tcW w:w="6066" w:type="dxa"/>
            <w:tcBorders>
              <w:left w:val="single" w:sz="4" w:space="0" w:color="auto"/>
              <w:right w:val="single" w:sz="8" w:space="0" w:color="auto"/>
            </w:tcBorders>
            <w:vAlign w:val="center"/>
          </w:tcPr>
          <w:p w14:paraId="7B31B3A2" w14:textId="639F72BF" w:rsidR="007800FB" w:rsidRPr="004459F3" w:rsidRDefault="007800FB" w:rsidP="00C1024C">
            <w:pPr>
              <w:spacing w:line="252" w:lineRule="auto"/>
              <w:contextualSpacing/>
              <w:rPr>
                <w:b/>
                <w:sz w:val="20"/>
                <w:szCs w:val="20"/>
              </w:rPr>
            </w:pPr>
            <w:r w:rsidRPr="004459F3">
              <w:rPr>
                <w:rFonts w:ascii="Calibri" w:hAnsi="Calibri" w:cs="Calibri"/>
                <w:sz w:val="20"/>
                <w:szCs w:val="20"/>
              </w:rPr>
              <w:t>Váha ověřena, předávání vážních lístků ORP obnoveno dne 25.</w:t>
            </w:r>
            <w:r w:rsidR="00526C63">
              <w:rPr>
                <w:rFonts w:ascii="Calibri" w:hAnsi="Calibri" w:cs="Calibri"/>
                <w:sz w:val="20"/>
                <w:szCs w:val="20"/>
              </w:rPr>
              <w:t> </w:t>
            </w:r>
            <w:r w:rsidRPr="004459F3">
              <w:rPr>
                <w:rFonts w:ascii="Calibri" w:hAnsi="Calibri" w:cs="Calibri"/>
                <w:sz w:val="20"/>
                <w:szCs w:val="20"/>
              </w:rPr>
              <w:t>10.</w:t>
            </w:r>
            <w:r w:rsidR="00526C63">
              <w:rPr>
                <w:rFonts w:ascii="Calibri" w:hAnsi="Calibri" w:cs="Calibri"/>
                <w:sz w:val="20"/>
                <w:szCs w:val="20"/>
              </w:rPr>
              <w:t> </w:t>
            </w:r>
            <w:r w:rsidRPr="004459F3">
              <w:rPr>
                <w:rFonts w:ascii="Calibri" w:hAnsi="Calibri" w:cs="Calibri"/>
                <w:sz w:val="20"/>
                <w:szCs w:val="20"/>
              </w:rPr>
              <w:t>2024.</w:t>
            </w:r>
          </w:p>
        </w:tc>
      </w:tr>
      <w:tr w:rsidR="009C24D1" w:rsidRPr="00757200" w14:paraId="6604A0A8" w14:textId="77777777" w:rsidTr="00F41FB9">
        <w:trPr>
          <w:trHeight w:val="340"/>
        </w:trPr>
        <w:tc>
          <w:tcPr>
            <w:tcW w:w="1474" w:type="dxa"/>
            <w:tcBorders>
              <w:left w:val="single" w:sz="8" w:space="0" w:color="auto"/>
              <w:bottom w:val="single" w:sz="8" w:space="0" w:color="auto"/>
            </w:tcBorders>
            <w:vAlign w:val="center"/>
          </w:tcPr>
          <w:p w14:paraId="755962F9" w14:textId="77777777" w:rsidR="009C24D1" w:rsidRPr="004459F3" w:rsidRDefault="009C24D1" w:rsidP="009C24D1">
            <w:pPr>
              <w:spacing w:line="252" w:lineRule="auto"/>
              <w:contextualSpacing/>
              <w:jc w:val="center"/>
              <w:rPr>
                <w:sz w:val="20"/>
                <w:szCs w:val="20"/>
              </w:rPr>
            </w:pPr>
            <w:r w:rsidRPr="004459F3">
              <w:rPr>
                <w:rFonts w:ascii="Calibri" w:hAnsi="Calibri" w:cs="Calibri"/>
                <w:color w:val="000000"/>
                <w:sz w:val="20"/>
                <w:szCs w:val="20"/>
              </w:rPr>
              <w:t>D4</w:t>
            </w:r>
          </w:p>
        </w:tc>
        <w:tc>
          <w:tcPr>
            <w:tcW w:w="1474" w:type="dxa"/>
            <w:tcBorders>
              <w:bottom w:val="single" w:sz="8" w:space="0" w:color="auto"/>
              <w:right w:val="single" w:sz="4" w:space="0" w:color="auto"/>
            </w:tcBorders>
            <w:vAlign w:val="center"/>
          </w:tcPr>
          <w:p w14:paraId="0136D89B" w14:textId="77777777" w:rsidR="009C24D1" w:rsidRPr="004459F3" w:rsidRDefault="009C24D1" w:rsidP="009C24D1">
            <w:pPr>
              <w:spacing w:line="252" w:lineRule="auto"/>
              <w:contextualSpacing/>
              <w:jc w:val="center"/>
              <w:rPr>
                <w:sz w:val="20"/>
                <w:szCs w:val="20"/>
              </w:rPr>
            </w:pPr>
            <w:r w:rsidRPr="004459F3">
              <w:rPr>
                <w:rFonts w:ascii="Calibri" w:hAnsi="Calibri" w:cs="Calibri"/>
                <w:color w:val="000000"/>
                <w:sz w:val="20"/>
                <w:szCs w:val="20"/>
              </w:rPr>
              <w:t>Černošice</w:t>
            </w:r>
          </w:p>
        </w:tc>
        <w:tc>
          <w:tcPr>
            <w:tcW w:w="6066" w:type="dxa"/>
            <w:tcBorders>
              <w:left w:val="single" w:sz="4" w:space="0" w:color="auto"/>
              <w:bottom w:val="single" w:sz="8" w:space="0" w:color="auto"/>
              <w:right w:val="single" w:sz="8" w:space="0" w:color="auto"/>
            </w:tcBorders>
            <w:vAlign w:val="center"/>
          </w:tcPr>
          <w:p w14:paraId="30206663" w14:textId="4396BE59" w:rsidR="009C24D1" w:rsidRPr="004459F3" w:rsidRDefault="003E6FC2" w:rsidP="00FE57BD">
            <w:pPr>
              <w:ind w:hanging="9"/>
              <w:rPr>
                <w:sz w:val="20"/>
                <w:szCs w:val="20"/>
              </w:rPr>
            </w:pPr>
            <w:r>
              <w:rPr>
                <w:rFonts w:ascii="Calibri" w:hAnsi="Calibri" w:cs="Calibri"/>
                <w:sz w:val="20"/>
                <w:szCs w:val="20"/>
              </w:rPr>
              <w:t xml:space="preserve">Zařízení prochází úpravami </w:t>
            </w:r>
            <w:r w:rsidR="009C24D1" w:rsidRPr="004459F3">
              <w:rPr>
                <w:rFonts w:ascii="Calibri" w:hAnsi="Calibri" w:cs="Calibri"/>
                <w:sz w:val="20"/>
                <w:szCs w:val="20"/>
              </w:rPr>
              <w:t>softwar</w:t>
            </w:r>
            <w:r>
              <w:rPr>
                <w:rFonts w:ascii="Calibri" w:hAnsi="Calibri" w:cs="Calibri"/>
                <w:sz w:val="20"/>
                <w:szCs w:val="20"/>
              </w:rPr>
              <w:t>u</w:t>
            </w:r>
            <w:r w:rsidR="009C24D1" w:rsidRPr="004459F3">
              <w:rPr>
                <w:rFonts w:ascii="Calibri" w:hAnsi="Calibri" w:cs="Calibri"/>
                <w:sz w:val="20"/>
                <w:szCs w:val="20"/>
              </w:rPr>
              <w:t xml:space="preserve">; váha </w:t>
            </w:r>
            <w:r>
              <w:rPr>
                <w:rFonts w:ascii="Calibri" w:hAnsi="Calibri" w:cs="Calibri"/>
                <w:sz w:val="20"/>
                <w:szCs w:val="20"/>
              </w:rPr>
              <w:t>není</w:t>
            </w:r>
            <w:r w:rsidR="009C24D1" w:rsidRPr="004459F3">
              <w:rPr>
                <w:rFonts w:ascii="Calibri" w:hAnsi="Calibri" w:cs="Calibri"/>
                <w:sz w:val="20"/>
                <w:szCs w:val="20"/>
              </w:rPr>
              <w:t xml:space="preserve"> ověřen</w:t>
            </w:r>
            <w:r>
              <w:rPr>
                <w:rFonts w:ascii="Calibri" w:hAnsi="Calibri" w:cs="Calibri"/>
                <w:sz w:val="20"/>
                <w:szCs w:val="20"/>
              </w:rPr>
              <w:t>a</w:t>
            </w:r>
            <w:r w:rsidR="009C24D1" w:rsidRPr="004459F3">
              <w:rPr>
                <w:rFonts w:ascii="Calibri" w:hAnsi="Calibri" w:cs="Calibri"/>
                <w:sz w:val="20"/>
                <w:szCs w:val="20"/>
              </w:rPr>
              <w:t xml:space="preserve"> a předávání </w:t>
            </w:r>
            <w:r w:rsidR="00FE57BD" w:rsidRPr="004459F3">
              <w:rPr>
                <w:rFonts w:ascii="Calibri" w:hAnsi="Calibri" w:cs="Calibri"/>
                <w:sz w:val="20"/>
                <w:szCs w:val="20"/>
              </w:rPr>
              <w:t xml:space="preserve">vážních lístků </w:t>
            </w:r>
            <w:r w:rsidR="009C24D1" w:rsidRPr="004459F3">
              <w:rPr>
                <w:rFonts w:ascii="Calibri" w:hAnsi="Calibri" w:cs="Calibri"/>
                <w:sz w:val="20"/>
                <w:szCs w:val="20"/>
              </w:rPr>
              <w:t>ORP neprobíhá.</w:t>
            </w:r>
          </w:p>
        </w:tc>
      </w:tr>
    </w:tbl>
    <w:p w14:paraId="5A943751" w14:textId="7F00156D" w:rsidR="000D04F3" w:rsidRPr="00654DA2" w:rsidRDefault="000D04F3" w:rsidP="004459F3">
      <w:pPr>
        <w:spacing w:after="0" w:line="252" w:lineRule="auto"/>
        <w:contextualSpacing/>
        <w:rPr>
          <w:rFonts w:cstheme="minorHAnsi"/>
          <w:sz w:val="20"/>
          <w:szCs w:val="20"/>
        </w:rPr>
      </w:pPr>
      <w:r w:rsidRPr="004459F3">
        <w:rPr>
          <w:rFonts w:cstheme="minorHAnsi"/>
          <w:b/>
          <w:bCs/>
          <w:sz w:val="20"/>
          <w:szCs w:val="20"/>
        </w:rPr>
        <w:t>Zdroj:</w:t>
      </w:r>
      <w:r>
        <w:rPr>
          <w:rFonts w:cstheme="minorHAnsi"/>
          <w:sz w:val="20"/>
          <w:szCs w:val="20"/>
        </w:rPr>
        <w:t xml:space="preserve"> ŘSD</w:t>
      </w:r>
      <w:r w:rsidR="003E6FC2">
        <w:rPr>
          <w:rFonts w:cstheme="minorHAnsi"/>
          <w:sz w:val="20"/>
          <w:szCs w:val="20"/>
        </w:rPr>
        <w:t>.</w:t>
      </w:r>
    </w:p>
    <w:p w14:paraId="031AFE57" w14:textId="77777777" w:rsidR="000D3F5C" w:rsidRDefault="000D3F5C" w:rsidP="000D3F5C">
      <w:pPr>
        <w:spacing w:after="0" w:line="252" w:lineRule="auto"/>
        <w:contextualSpacing/>
        <w:jc w:val="both"/>
        <w:rPr>
          <w:rFonts w:eastAsia="Calibri" w:cstheme="minorHAnsi"/>
          <w:sz w:val="24"/>
          <w:szCs w:val="24"/>
        </w:rPr>
      </w:pPr>
    </w:p>
    <w:p w14:paraId="3D9BEFE6" w14:textId="42A0830B" w:rsidR="00742A1C" w:rsidRDefault="00242191" w:rsidP="00E3243F">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38 </w:t>
      </w:r>
      <w:r w:rsidR="00B011BB">
        <w:rPr>
          <w:rFonts w:eastAsia="Calibri" w:cstheme="minorHAnsi"/>
          <w:sz w:val="24"/>
          <w:szCs w:val="24"/>
        </w:rPr>
        <w:t xml:space="preserve">MD dále </w:t>
      </w:r>
      <w:r w:rsidR="00776046">
        <w:rPr>
          <w:rFonts w:eastAsia="Calibri" w:cstheme="minorHAnsi"/>
          <w:sz w:val="24"/>
          <w:szCs w:val="24"/>
        </w:rPr>
        <w:t xml:space="preserve">iniciovalo několik </w:t>
      </w:r>
      <w:r w:rsidR="00B011BB">
        <w:rPr>
          <w:rFonts w:eastAsia="Calibri" w:cstheme="minorHAnsi"/>
          <w:sz w:val="24"/>
          <w:szCs w:val="24"/>
        </w:rPr>
        <w:t xml:space="preserve">legislativních úprav </w:t>
      </w:r>
      <w:r w:rsidR="00776046">
        <w:rPr>
          <w:rFonts w:eastAsia="Calibri" w:cstheme="minorHAnsi"/>
          <w:sz w:val="24"/>
          <w:szCs w:val="24"/>
        </w:rPr>
        <w:t xml:space="preserve">zákona o pozemních komunikacích, jimiž </w:t>
      </w:r>
      <w:r w:rsidR="003E6FC2">
        <w:rPr>
          <w:rFonts w:eastAsia="Calibri" w:cstheme="minorHAnsi"/>
          <w:sz w:val="24"/>
          <w:szCs w:val="24"/>
        </w:rPr>
        <w:t xml:space="preserve">byla </w:t>
      </w:r>
      <w:r w:rsidR="00832A7B">
        <w:rPr>
          <w:rFonts w:eastAsia="Calibri" w:cstheme="minorHAnsi"/>
          <w:sz w:val="24"/>
          <w:szCs w:val="24"/>
        </w:rPr>
        <w:t xml:space="preserve">v roce 2024 </w:t>
      </w:r>
      <w:r w:rsidR="00776046">
        <w:rPr>
          <w:rFonts w:eastAsia="Calibri" w:cstheme="minorHAnsi"/>
          <w:sz w:val="24"/>
          <w:szCs w:val="24"/>
        </w:rPr>
        <w:t xml:space="preserve">mj. přenesena odpovědnost </w:t>
      </w:r>
      <w:r w:rsidR="00776046" w:rsidRPr="00832A7B">
        <w:rPr>
          <w:rFonts w:eastAsia="Calibri" w:cstheme="minorHAnsi"/>
          <w:sz w:val="24"/>
          <w:szCs w:val="24"/>
        </w:rPr>
        <w:t xml:space="preserve">za zajišťování </w:t>
      </w:r>
      <w:r w:rsidR="00011E44">
        <w:rPr>
          <w:rFonts w:eastAsia="Calibri" w:cstheme="minorHAnsi"/>
          <w:sz w:val="24"/>
          <w:szCs w:val="24"/>
        </w:rPr>
        <w:t xml:space="preserve">kontrolního vážení </w:t>
      </w:r>
      <w:r w:rsidR="00776046" w:rsidRPr="00832A7B">
        <w:rPr>
          <w:rFonts w:eastAsia="Calibri" w:cstheme="minorHAnsi"/>
          <w:sz w:val="24"/>
          <w:szCs w:val="24"/>
        </w:rPr>
        <w:t>na silnicích I.</w:t>
      </w:r>
      <w:r w:rsidR="003E6FC2">
        <w:rPr>
          <w:rFonts w:eastAsia="Calibri" w:cstheme="minorHAnsi"/>
          <w:sz w:val="24"/>
          <w:szCs w:val="24"/>
        </w:rPr>
        <w:t> </w:t>
      </w:r>
      <w:r w:rsidR="00776046" w:rsidRPr="00832A7B">
        <w:rPr>
          <w:rFonts w:eastAsia="Calibri" w:cstheme="minorHAnsi"/>
          <w:sz w:val="24"/>
          <w:szCs w:val="24"/>
        </w:rPr>
        <w:t xml:space="preserve">třídy </w:t>
      </w:r>
      <w:r w:rsidR="00832A7B" w:rsidRPr="00832A7B">
        <w:rPr>
          <w:rFonts w:eastAsia="Calibri" w:cstheme="minorHAnsi"/>
          <w:sz w:val="24"/>
          <w:szCs w:val="24"/>
        </w:rPr>
        <w:t>z </w:t>
      </w:r>
      <w:r w:rsidR="00776046" w:rsidRPr="00832A7B">
        <w:rPr>
          <w:rFonts w:eastAsia="Calibri" w:cstheme="minorHAnsi"/>
          <w:sz w:val="24"/>
          <w:szCs w:val="24"/>
        </w:rPr>
        <w:t>kraj</w:t>
      </w:r>
      <w:r w:rsidR="00832A7B" w:rsidRPr="00832A7B">
        <w:rPr>
          <w:rFonts w:eastAsia="Calibri" w:cstheme="minorHAnsi"/>
          <w:sz w:val="24"/>
          <w:szCs w:val="24"/>
        </w:rPr>
        <w:t>ů na</w:t>
      </w:r>
      <w:r w:rsidR="00776046" w:rsidRPr="00832A7B">
        <w:rPr>
          <w:rFonts w:eastAsia="Calibri" w:cstheme="minorHAnsi"/>
          <w:sz w:val="24"/>
          <w:szCs w:val="24"/>
        </w:rPr>
        <w:t xml:space="preserve"> vlastník</w:t>
      </w:r>
      <w:r w:rsidR="00832A7B" w:rsidRPr="00832A7B">
        <w:rPr>
          <w:rFonts w:eastAsia="Calibri" w:cstheme="minorHAnsi"/>
          <w:sz w:val="24"/>
          <w:szCs w:val="24"/>
        </w:rPr>
        <w:t>y</w:t>
      </w:r>
      <w:r w:rsidR="00776046" w:rsidRPr="00832A7B">
        <w:rPr>
          <w:rFonts w:eastAsia="Calibri" w:cstheme="minorHAnsi"/>
          <w:sz w:val="24"/>
          <w:szCs w:val="24"/>
        </w:rPr>
        <w:t xml:space="preserve"> komunikac</w:t>
      </w:r>
      <w:r w:rsidR="00832A7B" w:rsidRPr="00832A7B">
        <w:rPr>
          <w:rFonts w:eastAsia="Calibri" w:cstheme="minorHAnsi"/>
          <w:sz w:val="24"/>
          <w:szCs w:val="24"/>
        </w:rPr>
        <w:t>í</w:t>
      </w:r>
      <w:r w:rsidR="00776046" w:rsidRPr="00832A7B">
        <w:rPr>
          <w:rFonts w:eastAsia="Calibri" w:cstheme="minorHAnsi"/>
          <w:sz w:val="24"/>
          <w:szCs w:val="24"/>
        </w:rPr>
        <w:t xml:space="preserve"> nebo </w:t>
      </w:r>
      <w:r w:rsidR="003E6FC2">
        <w:rPr>
          <w:rFonts w:eastAsia="Calibri" w:cstheme="minorHAnsi"/>
          <w:sz w:val="24"/>
          <w:szCs w:val="24"/>
        </w:rPr>
        <w:t>jimi</w:t>
      </w:r>
      <w:r w:rsidR="00776046" w:rsidRPr="00832A7B">
        <w:rPr>
          <w:rFonts w:eastAsia="Calibri" w:cstheme="minorHAnsi"/>
          <w:sz w:val="24"/>
          <w:szCs w:val="24"/>
        </w:rPr>
        <w:t xml:space="preserve"> pověřen</w:t>
      </w:r>
      <w:r w:rsidR="00832A7B" w:rsidRPr="00832A7B">
        <w:rPr>
          <w:rFonts w:eastAsia="Calibri" w:cstheme="minorHAnsi"/>
          <w:sz w:val="24"/>
          <w:szCs w:val="24"/>
        </w:rPr>
        <w:t>é</w:t>
      </w:r>
      <w:r w:rsidR="00776046" w:rsidRPr="00832A7B">
        <w:rPr>
          <w:rFonts w:eastAsia="Calibri" w:cstheme="minorHAnsi"/>
          <w:sz w:val="24"/>
          <w:szCs w:val="24"/>
        </w:rPr>
        <w:t xml:space="preserve"> osob</w:t>
      </w:r>
      <w:r w:rsidR="00832A7B" w:rsidRPr="00832A7B">
        <w:rPr>
          <w:rFonts w:eastAsia="Calibri" w:cstheme="minorHAnsi"/>
          <w:sz w:val="24"/>
          <w:szCs w:val="24"/>
        </w:rPr>
        <w:t>y,</w:t>
      </w:r>
      <w:r w:rsidR="00832A7B">
        <w:rPr>
          <w:rFonts w:eastAsia="Calibri" w:cstheme="minorHAnsi"/>
          <w:sz w:val="24"/>
          <w:szCs w:val="24"/>
        </w:rPr>
        <w:t xml:space="preserve"> </w:t>
      </w:r>
      <w:r w:rsidR="00832A7B" w:rsidRPr="00832A7B">
        <w:rPr>
          <w:rFonts w:eastAsia="Calibri" w:cstheme="minorHAnsi"/>
          <w:sz w:val="24"/>
          <w:szCs w:val="24"/>
        </w:rPr>
        <w:t>změněn</w:t>
      </w:r>
      <w:r w:rsidR="003E6FC2">
        <w:rPr>
          <w:rFonts w:eastAsia="Calibri" w:cstheme="minorHAnsi"/>
          <w:sz w:val="24"/>
          <w:szCs w:val="24"/>
        </w:rPr>
        <w:t>a</w:t>
      </w:r>
      <w:r w:rsidR="00832A7B" w:rsidRPr="00832A7B">
        <w:rPr>
          <w:rFonts w:eastAsia="Calibri" w:cstheme="minorHAnsi"/>
          <w:sz w:val="24"/>
          <w:szCs w:val="24"/>
        </w:rPr>
        <w:t xml:space="preserve"> výše podílů na výnosech z pokut za přestupky z</w:t>
      </w:r>
      <w:r w:rsidR="00011E44">
        <w:rPr>
          <w:rFonts w:eastAsia="Calibri" w:cstheme="minorHAnsi"/>
          <w:sz w:val="24"/>
          <w:szCs w:val="24"/>
        </w:rPr>
        <w:t> kontrolního vážení</w:t>
      </w:r>
      <w:r w:rsidR="00832A7B" w:rsidRPr="00832A7B">
        <w:rPr>
          <w:rFonts w:eastAsia="Calibri" w:cstheme="minorHAnsi"/>
          <w:sz w:val="24"/>
          <w:szCs w:val="24"/>
        </w:rPr>
        <w:t xml:space="preserve"> (zvýšení podílu ORP z</w:t>
      </w:r>
      <w:r w:rsidR="003E6FC2">
        <w:rPr>
          <w:rFonts w:eastAsia="Calibri" w:cstheme="minorHAnsi"/>
          <w:sz w:val="24"/>
          <w:szCs w:val="24"/>
        </w:rPr>
        <w:t xml:space="preserve"> </w:t>
      </w:r>
      <w:r w:rsidR="00832A7B" w:rsidRPr="00832A7B">
        <w:rPr>
          <w:rFonts w:eastAsia="Calibri" w:cstheme="minorHAnsi"/>
          <w:sz w:val="24"/>
          <w:szCs w:val="24"/>
        </w:rPr>
        <w:t xml:space="preserve">15 % na 30 % </w:t>
      </w:r>
      <w:r w:rsidR="00832A7B" w:rsidRPr="00832A7B">
        <w:rPr>
          <w:rFonts w:eastAsia="Calibri" w:cstheme="minorHAnsi"/>
          <w:sz w:val="24"/>
          <w:szCs w:val="24"/>
        </w:rPr>
        <w:lastRenderedPageBreak/>
        <w:t>a</w:t>
      </w:r>
      <w:r w:rsidR="003E6FC2">
        <w:rPr>
          <w:rFonts w:eastAsia="Calibri" w:cstheme="minorHAnsi"/>
          <w:sz w:val="24"/>
          <w:szCs w:val="24"/>
        </w:rPr>
        <w:t> </w:t>
      </w:r>
      <w:r w:rsidR="00832A7B" w:rsidRPr="00832A7B">
        <w:rPr>
          <w:rFonts w:eastAsia="Calibri" w:cstheme="minorHAnsi"/>
          <w:sz w:val="24"/>
          <w:szCs w:val="24"/>
        </w:rPr>
        <w:t>snížení podílu krajů ze 45 % na 30 %) a snížena výměra pokuty uložené příkazem za přestupek z</w:t>
      </w:r>
      <w:r w:rsidR="00011E44">
        <w:rPr>
          <w:rFonts w:eastAsia="Calibri" w:cstheme="minorHAnsi"/>
          <w:sz w:val="24"/>
          <w:szCs w:val="24"/>
        </w:rPr>
        <w:t> kontrolního vážení</w:t>
      </w:r>
      <w:r w:rsidR="00832A7B" w:rsidRPr="00832A7B">
        <w:rPr>
          <w:rFonts w:eastAsia="Calibri" w:cstheme="minorHAnsi"/>
          <w:sz w:val="24"/>
          <w:szCs w:val="24"/>
        </w:rPr>
        <w:t xml:space="preserve"> na polovinu. </w:t>
      </w:r>
    </w:p>
    <w:p w14:paraId="224F2F6A" w14:textId="77777777" w:rsidR="00EC0109" w:rsidRDefault="00EC0109" w:rsidP="00E3243F">
      <w:pPr>
        <w:spacing w:after="0" w:line="252" w:lineRule="auto"/>
        <w:contextualSpacing/>
        <w:jc w:val="both"/>
        <w:rPr>
          <w:rFonts w:eastAsia="Calibri" w:cstheme="minorHAnsi"/>
          <w:sz w:val="24"/>
          <w:szCs w:val="24"/>
        </w:rPr>
      </w:pPr>
    </w:p>
    <w:p w14:paraId="52DAAC5B" w14:textId="77777777" w:rsidR="00325F12" w:rsidRPr="00325F12" w:rsidRDefault="00A650CA" w:rsidP="004A60EB">
      <w:pPr>
        <w:pStyle w:val="Odstavecseseznamem"/>
        <w:numPr>
          <w:ilvl w:val="0"/>
          <w:numId w:val="37"/>
        </w:numPr>
        <w:spacing w:after="0" w:line="252" w:lineRule="auto"/>
        <w:jc w:val="both"/>
        <w:rPr>
          <w:rFonts w:eastAsia="Calibri" w:cstheme="minorHAnsi"/>
          <w:b/>
          <w:i/>
          <w:color w:val="4472C4" w:themeColor="accent5"/>
          <w:sz w:val="24"/>
          <w:szCs w:val="24"/>
        </w:rPr>
      </w:pPr>
      <w:r>
        <w:rPr>
          <w:rFonts w:eastAsia="Calibri" w:cstheme="minorHAnsi"/>
          <w:b/>
          <w:i/>
          <w:color w:val="4472C4" w:themeColor="accent5"/>
          <w:sz w:val="24"/>
          <w:szCs w:val="24"/>
        </w:rPr>
        <w:t>ŘSD nevynakládalo p</w:t>
      </w:r>
      <w:r w:rsidR="00325F12" w:rsidRPr="00325F12">
        <w:rPr>
          <w:rFonts w:eastAsia="Calibri" w:cstheme="minorHAnsi"/>
          <w:b/>
          <w:i/>
          <w:color w:val="4472C4" w:themeColor="accent5"/>
          <w:sz w:val="24"/>
          <w:szCs w:val="24"/>
        </w:rPr>
        <w:t xml:space="preserve">eněžní prostředky na </w:t>
      </w:r>
      <w:r>
        <w:rPr>
          <w:rFonts w:eastAsia="Calibri" w:cstheme="minorHAnsi"/>
          <w:b/>
          <w:i/>
          <w:color w:val="4472C4" w:themeColor="accent5"/>
          <w:sz w:val="24"/>
          <w:szCs w:val="24"/>
        </w:rPr>
        <w:t>pořízení a provoz VKV</w:t>
      </w:r>
      <w:r w:rsidR="00325F12">
        <w:rPr>
          <w:rFonts w:eastAsia="Calibri" w:cstheme="minorHAnsi"/>
          <w:b/>
          <w:i/>
          <w:color w:val="4472C4" w:themeColor="accent5"/>
          <w:sz w:val="24"/>
          <w:szCs w:val="24"/>
        </w:rPr>
        <w:t xml:space="preserve"> účelně a hospodárn</w:t>
      </w:r>
      <w:r>
        <w:rPr>
          <w:rFonts w:eastAsia="Calibri" w:cstheme="minorHAnsi"/>
          <w:b/>
          <w:i/>
          <w:color w:val="4472C4" w:themeColor="accent5"/>
          <w:sz w:val="24"/>
          <w:szCs w:val="24"/>
        </w:rPr>
        <w:t>ě.</w:t>
      </w:r>
    </w:p>
    <w:p w14:paraId="2A12F767" w14:textId="77777777" w:rsidR="009E7CE3" w:rsidRDefault="009E7CE3" w:rsidP="002C4E3B">
      <w:pPr>
        <w:spacing w:after="0" w:line="252" w:lineRule="auto"/>
        <w:contextualSpacing/>
        <w:rPr>
          <w:rFonts w:eastAsia="Calibri" w:cstheme="minorHAnsi"/>
          <w:sz w:val="24"/>
          <w:szCs w:val="24"/>
        </w:rPr>
      </w:pPr>
    </w:p>
    <w:p w14:paraId="34A9E3D0" w14:textId="22D017A9" w:rsidR="00EC35CB" w:rsidRDefault="00242191" w:rsidP="00776046">
      <w:pPr>
        <w:spacing w:after="0" w:line="252" w:lineRule="auto"/>
        <w:contextualSpacing/>
        <w:jc w:val="both"/>
        <w:rPr>
          <w:rFonts w:cstheme="minorHAnsi"/>
          <w:sz w:val="24"/>
          <w:szCs w:val="24"/>
        </w:rPr>
      </w:pPr>
      <w:r>
        <w:rPr>
          <w:rFonts w:eastAsia="Calibri" w:cstheme="minorHAnsi"/>
          <w:sz w:val="24"/>
          <w:szCs w:val="24"/>
        </w:rPr>
        <w:t>4.</w:t>
      </w:r>
      <w:r w:rsidR="00CE41BF">
        <w:rPr>
          <w:rFonts w:eastAsia="Calibri" w:cstheme="minorHAnsi"/>
          <w:sz w:val="24"/>
          <w:szCs w:val="24"/>
        </w:rPr>
        <w:t xml:space="preserve">39 </w:t>
      </w:r>
      <w:r w:rsidR="00DC744A">
        <w:rPr>
          <w:rFonts w:eastAsia="Calibri" w:cstheme="minorHAnsi"/>
          <w:sz w:val="24"/>
          <w:szCs w:val="24"/>
        </w:rPr>
        <w:t xml:space="preserve">NKÚ zjišťoval, zda peněžní prostředky </w:t>
      </w:r>
      <w:r w:rsidR="00A8099D">
        <w:rPr>
          <w:rFonts w:eastAsia="Calibri" w:cstheme="minorHAnsi"/>
          <w:sz w:val="24"/>
          <w:szCs w:val="24"/>
        </w:rPr>
        <w:t xml:space="preserve">určené </w:t>
      </w:r>
      <w:r w:rsidR="00DC744A">
        <w:rPr>
          <w:rFonts w:eastAsia="Calibri" w:cstheme="minorHAnsi"/>
          <w:sz w:val="24"/>
          <w:szCs w:val="24"/>
        </w:rPr>
        <w:t xml:space="preserve">na </w:t>
      </w:r>
      <w:r w:rsidR="00152BDF">
        <w:rPr>
          <w:rFonts w:eastAsia="Calibri" w:cstheme="minorHAnsi"/>
          <w:sz w:val="24"/>
          <w:szCs w:val="24"/>
        </w:rPr>
        <w:t xml:space="preserve">pořízení a provoz zařízení pro </w:t>
      </w:r>
      <w:r w:rsidR="00DC744A">
        <w:rPr>
          <w:rFonts w:eastAsia="Calibri" w:cstheme="minorHAnsi"/>
          <w:sz w:val="24"/>
          <w:szCs w:val="24"/>
        </w:rPr>
        <w:t>VKV vynaklád</w:t>
      </w:r>
      <w:r w:rsidR="00A8099D">
        <w:rPr>
          <w:rFonts w:eastAsia="Calibri" w:cstheme="minorHAnsi"/>
          <w:sz w:val="24"/>
          <w:szCs w:val="24"/>
        </w:rPr>
        <w:t>alo</w:t>
      </w:r>
      <w:r w:rsidR="00DC744A">
        <w:rPr>
          <w:rFonts w:eastAsia="Calibri" w:cstheme="minorHAnsi"/>
          <w:sz w:val="24"/>
          <w:szCs w:val="24"/>
        </w:rPr>
        <w:t xml:space="preserve"> </w:t>
      </w:r>
      <w:r w:rsidR="003E6FC2">
        <w:rPr>
          <w:rFonts w:eastAsia="Calibri" w:cstheme="minorHAnsi"/>
          <w:sz w:val="24"/>
          <w:szCs w:val="24"/>
        </w:rPr>
        <w:t xml:space="preserve">ŘSD </w:t>
      </w:r>
      <w:r w:rsidR="00DC744A">
        <w:rPr>
          <w:rFonts w:eastAsia="Calibri" w:cstheme="minorHAnsi"/>
          <w:sz w:val="24"/>
          <w:szCs w:val="24"/>
        </w:rPr>
        <w:t xml:space="preserve">účelně a hospodárně. </w:t>
      </w:r>
      <w:r w:rsidR="00EC35CB" w:rsidRPr="00EC35CB">
        <w:rPr>
          <w:rFonts w:cstheme="minorHAnsi"/>
          <w:sz w:val="24"/>
          <w:szCs w:val="24"/>
        </w:rPr>
        <w:t xml:space="preserve">Financování </w:t>
      </w:r>
      <w:r w:rsidR="00D744B5">
        <w:rPr>
          <w:rFonts w:cstheme="minorHAnsi"/>
          <w:sz w:val="24"/>
          <w:szCs w:val="24"/>
        </w:rPr>
        <w:t xml:space="preserve">výstavby a provozu zařízení pro VKV </w:t>
      </w:r>
      <w:r w:rsidR="00EC35CB" w:rsidRPr="00EC35CB">
        <w:rPr>
          <w:rFonts w:cstheme="minorHAnsi"/>
          <w:sz w:val="24"/>
          <w:szCs w:val="24"/>
        </w:rPr>
        <w:t>zajišťuje ŘSD z</w:t>
      </w:r>
      <w:r w:rsidR="005532F4">
        <w:rPr>
          <w:rFonts w:cstheme="minorHAnsi"/>
          <w:sz w:val="24"/>
          <w:szCs w:val="24"/>
        </w:rPr>
        <w:t xml:space="preserve"> peněžních </w:t>
      </w:r>
      <w:r w:rsidR="00EC35CB" w:rsidRPr="00EC35CB">
        <w:rPr>
          <w:rFonts w:cstheme="minorHAnsi"/>
          <w:sz w:val="24"/>
          <w:szCs w:val="24"/>
        </w:rPr>
        <w:t xml:space="preserve">prostředků </w:t>
      </w:r>
      <w:r w:rsidR="005532F4">
        <w:rPr>
          <w:rFonts w:cstheme="minorHAnsi"/>
          <w:sz w:val="24"/>
          <w:szCs w:val="24"/>
        </w:rPr>
        <w:t xml:space="preserve">poskytovaných z </w:t>
      </w:r>
      <w:r w:rsidR="00EC35CB" w:rsidRPr="00EC35CB">
        <w:rPr>
          <w:rFonts w:cstheme="minorHAnsi"/>
          <w:sz w:val="24"/>
          <w:szCs w:val="24"/>
        </w:rPr>
        <w:t>rozpočt</w:t>
      </w:r>
      <w:r w:rsidR="00ED544D">
        <w:rPr>
          <w:rFonts w:cstheme="minorHAnsi"/>
          <w:sz w:val="24"/>
          <w:szCs w:val="24"/>
        </w:rPr>
        <w:t>ů</w:t>
      </w:r>
      <w:r w:rsidR="00EC35CB" w:rsidRPr="00EC35CB">
        <w:rPr>
          <w:rFonts w:cstheme="minorHAnsi"/>
          <w:sz w:val="24"/>
          <w:szCs w:val="24"/>
        </w:rPr>
        <w:t xml:space="preserve"> SFDI. MD o poskytnutí těchto prostředků přímo nerozhoduje, ale za účelnost, hospodárnost a efektivnost jejich vynakládání spoluzodpovídá</w:t>
      </w:r>
      <w:r w:rsidR="00160D58">
        <w:rPr>
          <w:rStyle w:val="Znakapoznpodarou"/>
          <w:rFonts w:cstheme="minorHAnsi"/>
          <w:sz w:val="24"/>
          <w:szCs w:val="24"/>
        </w:rPr>
        <w:footnoteReference w:id="32"/>
      </w:r>
      <w:r w:rsidR="00EC35CB" w:rsidRPr="00EC35CB">
        <w:rPr>
          <w:rFonts w:cstheme="minorHAnsi"/>
          <w:sz w:val="24"/>
          <w:szCs w:val="24"/>
        </w:rPr>
        <w:t xml:space="preserve">. </w:t>
      </w:r>
    </w:p>
    <w:p w14:paraId="749581A5" w14:textId="77777777" w:rsidR="00A174AA" w:rsidRPr="005F4141" w:rsidRDefault="00A174AA" w:rsidP="002C4E3B">
      <w:pPr>
        <w:spacing w:after="0" w:line="252" w:lineRule="auto"/>
        <w:contextualSpacing/>
        <w:rPr>
          <w:rFonts w:eastAsia="Calibri" w:cstheme="minorHAnsi"/>
          <w:sz w:val="24"/>
          <w:szCs w:val="24"/>
        </w:rPr>
      </w:pPr>
    </w:p>
    <w:p w14:paraId="269B840A" w14:textId="4C9190C9" w:rsidR="00FE54C8" w:rsidRPr="00EB4956" w:rsidRDefault="000D2E0A" w:rsidP="00EB4956">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40 </w:t>
      </w:r>
      <w:r w:rsidR="005F4141">
        <w:rPr>
          <w:rFonts w:eastAsia="Calibri" w:cstheme="minorHAnsi"/>
          <w:sz w:val="24"/>
          <w:szCs w:val="24"/>
        </w:rPr>
        <w:t>První d</w:t>
      </w:r>
      <w:r w:rsidR="001F7112" w:rsidRPr="005F4141">
        <w:rPr>
          <w:rFonts w:eastAsia="Calibri" w:cstheme="minorHAnsi"/>
          <w:sz w:val="24"/>
          <w:szCs w:val="24"/>
        </w:rPr>
        <w:t xml:space="preserve">vě </w:t>
      </w:r>
      <w:r w:rsidR="005F4141">
        <w:rPr>
          <w:rFonts w:eastAsia="Calibri" w:cstheme="minorHAnsi"/>
          <w:sz w:val="24"/>
          <w:szCs w:val="24"/>
        </w:rPr>
        <w:t xml:space="preserve">váhy pro VKV, které ŘSD uvedlo do provozu </w:t>
      </w:r>
      <w:r w:rsidR="00EC0109">
        <w:rPr>
          <w:rFonts w:eastAsia="Calibri" w:cstheme="minorHAnsi"/>
          <w:sz w:val="24"/>
          <w:szCs w:val="24"/>
        </w:rPr>
        <w:t xml:space="preserve">na dálnicích D5 </w:t>
      </w:r>
      <w:r w:rsidR="003F434B">
        <w:rPr>
          <w:rFonts w:eastAsia="Calibri" w:cstheme="minorHAnsi"/>
          <w:sz w:val="24"/>
          <w:szCs w:val="24"/>
        </w:rPr>
        <w:t xml:space="preserve">(ORP Nýřany) </w:t>
      </w:r>
      <w:r w:rsidR="003F1DE9">
        <w:rPr>
          <w:rFonts w:eastAsia="Calibri" w:cstheme="minorHAnsi"/>
          <w:sz w:val="24"/>
          <w:szCs w:val="24"/>
        </w:rPr>
        <w:br/>
      </w:r>
      <w:r w:rsidR="00EC0109">
        <w:rPr>
          <w:rFonts w:eastAsia="Calibri" w:cstheme="minorHAnsi"/>
          <w:sz w:val="24"/>
          <w:szCs w:val="24"/>
        </w:rPr>
        <w:t>a D35</w:t>
      </w:r>
      <w:r w:rsidR="003F434B">
        <w:rPr>
          <w:rFonts w:eastAsia="Calibri" w:cstheme="minorHAnsi"/>
          <w:sz w:val="24"/>
          <w:szCs w:val="24"/>
        </w:rPr>
        <w:t xml:space="preserve"> (O</w:t>
      </w:r>
      <w:r w:rsidR="00CD70DB">
        <w:rPr>
          <w:rFonts w:eastAsia="Calibri" w:cstheme="minorHAnsi"/>
          <w:sz w:val="24"/>
          <w:szCs w:val="24"/>
        </w:rPr>
        <w:t xml:space="preserve">RP Olomouc) </w:t>
      </w:r>
      <w:r w:rsidR="005F4141">
        <w:rPr>
          <w:rFonts w:eastAsia="Calibri" w:cstheme="minorHAnsi"/>
          <w:sz w:val="24"/>
          <w:szCs w:val="24"/>
        </w:rPr>
        <w:t>v</w:t>
      </w:r>
      <w:r w:rsidR="003F1DE9">
        <w:rPr>
          <w:rFonts w:eastAsia="Calibri" w:cstheme="minorHAnsi"/>
          <w:sz w:val="24"/>
          <w:szCs w:val="24"/>
        </w:rPr>
        <w:t xml:space="preserve"> </w:t>
      </w:r>
      <w:r w:rsidR="005F4141">
        <w:rPr>
          <w:rFonts w:eastAsia="Calibri" w:cstheme="minorHAnsi"/>
          <w:sz w:val="24"/>
          <w:szCs w:val="24"/>
        </w:rPr>
        <w:t>lednu</w:t>
      </w:r>
      <w:r w:rsidR="00CD70DB">
        <w:rPr>
          <w:rFonts w:eastAsia="Calibri" w:cstheme="minorHAnsi"/>
          <w:sz w:val="24"/>
          <w:szCs w:val="24"/>
        </w:rPr>
        <w:t xml:space="preserve"> </w:t>
      </w:r>
      <w:r w:rsidR="005F4141">
        <w:rPr>
          <w:rFonts w:eastAsia="Calibri" w:cstheme="minorHAnsi"/>
          <w:sz w:val="24"/>
          <w:szCs w:val="24"/>
        </w:rPr>
        <w:t>a v</w:t>
      </w:r>
      <w:r w:rsidR="003F1DE9">
        <w:rPr>
          <w:rFonts w:eastAsia="Calibri" w:cstheme="minorHAnsi"/>
          <w:sz w:val="24"/>
          <w:szCs w:val="24"/>
        </w:rPr>
        <w:t xml:space="preserve"> </w:t>
      </w:r>
      <w:r w:rsidR="005F4141">
        <w:rPr>
          <w:rFonts w:eastAsia="Calibri" w:cstheme="minorHAnsi"/>
          <w:sz w:val="24"/>
          <w:szCs w:val="24"/>
        </w:rPr>
        <w:t xml:space="preserve">březnu 2020, prováděly kontrolní vážení pouze v roce </w:t>
      </w:r>
      <w:r w:rsidR="003F1DE9">
        <w:rPr>
          <w:rFonts w:eastAsia="Calibri" w:cstheme="minorHAnsi"/>
          <w:sz w:val="24"/>
          <w:szCs w:val="24"/>
        </w:rPr>
        <w:br/>
      </w:r>
      <w:r w:rsidR="005F4141">
        <w:rPr>
          <w:rFonts w:eastAsia="Calibri" w:cstheme="minorHAnsi"/>
          <w:sz w:val="24"/>
          <w:szCs w:val="24"/>
        </w:rPr>
        <w:t xml:space="preserve">2020. V případě váhy na dálnici D5 </w:t>
      </w:r>
      <w:r w:rsidR="00003CFE" w:rsidRPr="00003CFE">
        <w:rPr>
          <w:rFonts w:eastAsia="Calibri" w:cstheme="minorHAnsi"/>
          <w:sz w:val="24"/>
          <w:szCs w:val="24"/>
        </w:rPr>
        <w:t>Ředitelství silnic a dálnic</w:t>
      </w:r>
      <w:r w:rsidR="00003CFE">
        <w:rPr>
          <w:rFonts w:eastAsia="Calibri" w:cstheme="minorHAnsi"/>
          <w:sz w:val="24"/>
          <w:szCs w:val="24"/>
        </w:rPr>
        <w:t xml:space="preserve"> </w:t>
      </w:r>
      <w:r w:rsidR="00FA3CE8">
        <w:rPr>
          <w:rFonts w:eastAsia="Calibri" w:cstheme="minorHAnsi"/>
          <w:sz w:val="24"/>
          <w:szCs w:val="24"/>
        </w:rPr>
        <w:t>nepředalo</w:t>
      </w:r>
      <w:r w:rsidR="005F4141">
        <w:rPr>
          <w:rFonts w:eastAsia="Calibri" w:cstheme="minorHAnsi"/>
          <w:sz w:val="24"/>
          <w:szCs w:val="24"/>
        </w:rPr>
        <w:t xml:space="preserve"> ORP </w:t>
      </w:r>
      <w:r w:rsidR="00CD70DB">
        <w:rPr>
          <w:rFonts w:eastAsia="Calibri" w:cstheme="minorHAnsi"/>
          <w:sz w:val="24"/>
          <w:szCs w:val="24"/>
        </w:rPr>
        <w:t xml:space="preserve">Nýřany </w:t>
      </w:r>
      <w:r w:rsidR="005F4141">
        <w:rPr>
          <w:rFonts w:eastAsia="Calibri" w:cstheme="minorHAnsi"/>
          <w:sz w:val="24"/>
          <w:szCs w:val="24"/>
        </w:rPr>
        <w:t>žádný z</w:t>
      </w:r>
      <w:r w:rsidR="003F1DE9">
        <w:rPr>
          <w:rFonts w:eastAsia="Calibri" w:cstheme="minorHAnsi"/>
          <w:sz w:val="24"/>
          <w:szCs w:val="24"/>
        </w:rPr>
        <w:t> </w:t>
      </w:r>
      <w:r w:rsidR="005F4141">
        <w:rPr>
          <w:rFonts w:eastAsia="Calibri" w:cstheme="minorHAnsi"/>
          <w:sz w:val="24"/>
          <w:szCs w:val="24"/>
        </w:rPr>
        <w:t>51</w:t>
      </w:r>
      <w:r w:rsidR="00EC0109">
        <w:rPr>
          <w:rFonts w:eastAsia="Calibri" w:cstheme="minorHAnsi"/>
          <w:sz w:val="24"/>
          <w:szCs w:val="24"/>
        </w:rPr>
        <w:t> </w:t>
      </w:r>
      <w:r w:rsidR="005F4141">
        <w:rPr>
          <w:rFonts w:eastAsia="Calibri" w:cstheme="minorHAnsi"/>
          <w:sz w:val="24"/>
          <w:szCs w:val="24"/>
        </w:rPr>
        <w:t xml:space="preserve">216 </w:t>
      </w:r>
      <w:r w:rsidR="00EC0109">
        <w:rPr>
          <w:rFonts w:eastAsia="Calibri" w:cstheme="minorHAnsi"/>
          <w:sz w:val="24"/>
          <w:szCs w:val="24"/>
        </w:rPr>
        <w:t xml:space="preserve">zjištěných </w:t>
      </w:r>
      <w:r w:rsidR="005F4141">
        <w:rPr>
          <w:rFonts w:eastAsia="Calibri" w:cstheme="minorHAnsi"/>
          <w:sz w:val="24"/>
          <w:szCs w:val="24"/>
        </w:rPr>
        <w:t xml:space="preserve">vážních deliktů. V případě váhy na dálnici D35 </w:t>
      </w:r>
      <w:r w:rsidR="00003CFE" w:rsidRPr="00003CFE">
        <w:rPr>
          <w:rFonts w:eastAsia="Calibri" w:cstheme="minorHAnsi"/>
          <w:sz w:val="24"/>
          <w:szCs w:val="24"/>
        </w:rPr>
        <w:t>Ředitelství silnic a dálnic</w:t>
      </w:r>
      <w:r w:rsidR="00003CFE">
        <w:rPr>
          <w:rFonts w:eastAsia="Calibri" w:cstheme="minorHAnsi"/>
          <w:sz w:val="24"/>
          <w:szCs w:val="24"/>
        </w:rPr>
        <w:t xml:space="preserve"> </w:t>
      </w:r>
      <w:r>
        <w:rPr>
          <w:rFonts w:eastAsia="Calibri" w:cstheme="minorHAnsi"/>
          <w:sz w:val="24"/>
          <w:szCs w:val="24"/>
        </w:rPr>
        <w:t xml:space="preserve">předalo </w:t>
      </w:r>
      <w:r w:rsidR="005F4141">
        <w:rPr>
          <w:rFonts w:eastAsia="Calibri" w:cstheme="minorHAnsi"/>
          <w:sz w:val="24"/>
          <w:szCs w:val="24"/>
        </w:rPr>
        <w:t xml:space="preserve">ORP </w:t>
      </w:r>
      <w:r w:rsidR="00CD70DB">
        <w:rPr>
          <w:rFonts w:eastAsia="Calibri" w:cstheme="minorHAnsi"/>
          <w:sz w:val="24"/>
          <w:szCs w:val="24"/>
        </w:rPr>
        <w:t xml:space="preserve">Olomouc </w:t>
      </w:r>
      <w:r>
        <w:rPr>
          <w:rFonts w:eastAsia="Calibri" w:cstheme="minorHAnsi"/>
          <w:sz w:val="24"/>
          <w:szCs w:val="24"/>
        </w:rPr>
        <w:t xml:space="preserve">k dalšímu řešení </w:t>
      </w:r>
      <w:r w:rsidR="005F4141">
        <w:rPr>
          <w:rFonts w:eastAsia="Calibri" w:cstheme="minorHAnsi"/>
          <w:sz w:val="24"/>
          <w:szCs w:val="24"/>
        </w:rPr>
        <w:t>jen 428 ze 40 564 zjištěných vážních delik</w:t>
      </w:r>
      <w:r w:rsidR="00FE54C8">
        <w:rPr>
          <w:rFonts w:eastAsia="Calibri" w:cstheme="minorHAnsi"/>
          <w:sz w:val="24"/>
          <w:szCs w:val="24"/>
        </w:rPr>
        <w:t xml:space="preserve">tů. V dalším období </w:t>
      </w:r>
      <w:r>
        <w:rPr>
          <w:rFonts w:eastAsia="Calibri" w:cstheme="minorHAnsi"/>
          <w:sz w:val="24"/>
          <w:szCs w:val="24"/>
        </w:rPr>
        <w:t xml:space="preserve">ŘSD </w:t>
      </w:r>
      <w:r w:rsidR="00FE54C8">
        <w:rPr>
          <w:rFonts w:eastAsia="Calibri" w:cstheme="minorHAnsi"/>
          <w:sz w:val="24"/>
          <w:szCs w:val="24"/>
        </w:rPr>
        <w:t>z důvodu nespolupráce obou ORP ne</w:t>
      </w:r>
      <w:r>
        <w:rPr>
          <w:rFonts w:eastAsia="Calibri" w:cstheme="minorHAnsi"/>
          <w:sz w:val="24"/>
          <w:szCs w:val="24"/>
        </w:rPr>
        <w:t xml:space="preserve">zajistilo </w:t>
      </w:r>
      <w:r w:rsidR="00FE54C8">
        <w:rPr>
          <w:rFonts w:eastAsia="Calibri" w:cstheme="minorHAnsi"/>
          <w:sz w:val="24"/>
          <w:szCs w:val="24"/>
        </w:rPr>
        <w:t>obnov</w:t>
      </w:r>
      <w:r>
        <w:rPr>
          <w:rFonts w:eastAsia="Calibri" w:cstheme="minorHAnsi"/>
          <w:sz w:val="24"/>
          <w:szCs w:val="24"/>
        </w:rPr>
        <w:t>ení</w:t>
      </w:r>
      <w:r w:rsidR="00FE54C8">
        <w:rPr>
          <w:rFonts w:eastAsia="Calibri" w:cstheme="minorHAnsi"/>
          <w:sz w:val="24"/>
          <w:szCs w:val="24"/>
        </w:rPr>
        <w:t xml:space="preserve"> úřední</w:t>
      </w:r>
      <w:r>
        <w:rPr>
          <w:rFonts w:eastAsia="Calibri" w:cstheme="minorHAnsi"/>
          <w:sz w:val="24"/>
          <w:szCs w:val="24"/>
        </w:rPr>
        <w:t>ho</w:t>
      </w:r>
      <w:r w:rsidR="00FE54C8">
        <w:rPr>
          <w:rFonts w:eastAsia="Calibri" w:cstheme="minorHAnsi"/>
          <w:sz w:val="24"/>
          <w:szCs w:val="24"/>
        </w:rPr>
        <w:t xml:space="preserve"> ověření obou vah, které je nezbytnou podmínkou pro </w:t>
      </w:r>
      <w:r w:rsidR="00ED544D">
        <w:rPr>
          <w:rFonts w:eastAsia="Calibri" w:cstheme="minorHAnsi"/>
          <w:sz w:val="24"/>
          <w:szCs w:val="24"/>
        </w:rPr>
        <w:t>VKV</w:t>
      </w:r>
      <w:r w:rsidR="00FE54C8">
        <w:rPr>
          <w:rFonts w:eastAsia="Calibri" w:cstheme="minorHAnsi"/>
          <w:sz w:val="24"/>
          <w:szCs w:val="24"/>
        </w:rPr>
        <w:t>. Obě tyto váhy tedy neplnily úkol</w:t>
      </w:r>
      <w:r w:rsidR="00CA1180">
        <w:rPr>
          <w:rFonts w:eastAsia="Calibri" w:cstheme="minorHAnsi"/>
          <w:sz w:val="24"/>
          <w:szCs w:val="24"/>
        </w:rPr>
        <w:t>y</w:t>
      </w:r>
      <w:r w:rsidR="00FE54C8">
        <w:rPr>
          <w:rFonts w:eastAsia="Calibri" w:cstheme="minorHAnsi"/>
          <w:sz w:val="24"/>
          <w:szCs w:val="24"/>
        </w:rPr>
        <w:t>, k n</w:t>
      </w:r>
      <w:r w:rsidR="00CA1180">
        <w:rPr>
          <w:rFonts w:eastAsia="Calibri" w:cstheme="minorHAnsi"/>
          <w:sz w:val="24"/>
          <w:szCs w:val="24"/>
        </w:rPr>
        <w:t>im</w:t>
      </w:r>
      <w:r w:rsidR="00FE54C8">
        <w:rPr>
          <w:rFonts w:eastAsia="Calibri" w:cstheme="minorHAnsi"/>
          <w:sz w:val="24"/>
          <w:szCs w:val="24"/>
        </w:rPr>
        <w:t>ž je ŘSD pořídilo.</w:t>
      </w:r>
      <w:r w:rsidR="00EB4956">
        <w:rPr>
          <w:rFonts w:eastAsia="Calibri" w:cstheme="minorHAnsi"/>
          <w:sz w:val="24"/>
          <w:szCs w:val="24"/>
        </w:rPr>
        <w:t xml:space="preserve"> </w:t>
      </w:r>
      <w:r w:rsidR="00003CFE">
        <w:rPr>
          <w:rFonts w:eastAsia="Calibri" w:cstheme="minorHAnsi"/>
          <w:sz w:val="24"/>
          <w:szCs w:val="24"/>
        </w:rPr>
        <w:t>Popsaná</w:t>
      </w:r>
      <w:r w:rsidR="00ED6CE7">
        <w:rPr>
          <w:rFonts w:eastAsia="Calibri" w:cstheme="minorHAnsi"/>
          <w:sz w:val="24"/>
          <w:szCs w:val="24"/>
        </w:rPr>
        <w:t xml:space="preserve"> situace je důsledkem toho, že MD p</w:t>
      </w:r>
      <w:r w:rsidR="00ED6CE7" w:rsidRPr="00A732E5">
        <w:rPr>
          <w:rFonts w:eastAsia="Calibri" w:cstheme="minorHAnsi"/>
          <w:sz w:val="24"/>
          <w:szCs w:val="24"/>
        </w:rPr>
        <w:t>ř</w:t>
      </w:r>
      <w:r w:rsidR="00ED6CE7">
        <w:rPr>
          <w:rFonts w:eastAsia="Calibri" w:cstheme="minorHAnsi"/>
          <w:sz w:val="24"/>
          <w:szCs w:val="24"/>
        </w:rPr>
        <w:t>ed</w:t>
      </w:r>
      <w:r w:rsidR="00ED6CE7" w:rsidRPr="00A732E5">
        <w:rPr>
          <w:rFonts w:eastAsia="Calibri" w:cstheme="minorHAnsi"/>
          <w:sz w:val="24"/>
          <w:szCs w:val="24"/>
        </w:rPr>
        <w:t xml:space="preserve"> spuštění</w:t>
      </w:r>
      <w:r w:rsidR="00ED6CE7">
        <w:rPr>
          <w:rFonts w:eastAsia="Calibri" w:cstheme="minorHAnsi"/>
          <w:sz w:val="24"/>
          <w:szCs w:val="24"/>
        </w:rPr>
        <w:t>m</w:t>
      </w:r>
      <w:r w:rsidR="00ED6CE7" w:rsidRPr="00A732E5">
        <w:rPr>
          <w:rFonts w:eastAsia="Calibri" w:cstheme="minorHAnsi"/>
          <w:sz w:val="24"/>
          <w:szCs w:val="24"/>
        </w:rPr>
        <w:t xml:space="preserve"> systému VKV </w:t>
      </w:r>
      <w:r w:rsidR="00ED6CE7">
        <w:rPr>
          <w:rFonts w:eastAsia="Calibri" w:cstheme="minorHAnsi"/>
          <w:sz w:val="24"/>
          <w:szCs w:val="24"/>
        </w:rPr>
        <w:t>ne</w:t>
      </w:r>
      <w:r w:rsidR="00ED6CE7" w:rsidRPr="00A732E5">
        <w:rPr>
          <w:rFonts w:eastAsia="Calibri" w:cstheme="minorHAnsi"/>
          <w:sz w:val="24"/>
          <w:szCs w:val="24"/>
        </w:rPr>
        <w:t>vytvoř</w:t>
      </w:r>
      <w:r w:rsidR="00ED6CE7">
        <w:rPr>
          <w:rFonts w:eastAsia="Calibri" w:cstheme="minorHAnsi"/>
          <w:sz w:val="24"/>
          <w:szCs w:val="24"/>
        </w:rPr>
        <w:t>ilo</w:t>
      </w:r>
      <w:r w:rsidR="00ED6CE7" w:rsidRPr="00A732E5">
        <w:rPr>
          <w:rFonts w:eastAsia="Calibri" w:cstheme="minorHAnsi"/>
          <w:sz w:val="24"/>
          <w:szCs w:val="24"/>
        </w:rPr>
        <w:t xml:space="preserve"> legislativní, materiálně-technické a organizační podmínky</w:t>
      </w:r>
      <w:r w:rsidR="00ED6CE7">
        <w:rPr>
          <w:rFonts w:eastAsia="Calibri" w:cstheme="minorHAnsi"/>
          <w:sz w:val="24"/>
          <w:szCs w:val="24"/>
        </w:rPr>
        <w:t xml:space="preserve"> pro jeho bezproblémový provoz</w:t>
      </w:r>
      <w:r w:rsidR="00ED6CE7" w:rsidRPr="00A732E5">
        <w:rPr>
          <w:rFonts w:eastAsia="Calibri" w:cstheme="minorHAnsi"/>
          <w:sz w:val="24"/>
          <w:szCs w:val="24"/>
        </w:rPr>
        <w:t xml:space="preserve"> </w:t>
      </w:r>
      <w:r w:rsidR="00ED6CE7">
        <w:rPr>
          <w:rFonts w:eastAsia="Calibri" w:cstheme="minorHAnsi"/>
          <w:sz w:val="24"/>
          <w:szCs w:val="24"/>
        </w:rPr>
        <w:t>(viz</w:t>
      </w:r>
      <w:r w:rsidR="00003CFE">
        <w:rPr>
          <w:rFonts w:eastAsia="Calibri" w:cstheme="minorHAnsi"/>
          <w:sz w:val="24"/>
          <w:szCs w:val="24"/>
        </w:rPr>
        <w:t> </w:t>
      </w:r>
      <w:r w:rsidR="00ED6CE7">
        <w:rPr>
          <w:rFonts w:eastAsia="Calibri" w:cstheme="minorHAnsi"/>
          <w:sz w:val="24"/>
          <w:szCs w:val="24"/>
        </w:rPr>
        <w:t xml:space="preserve">odst. 4.13). </w:t>
      </w:r>
      <w:r w:rsidR="0045531B" w:rsidRPr="00EB4956">
        <w:rPr>
          <w:rFonts w:eastAsia="Calibri" w:cstheme="minorHAnsi"/>
          <w:sz w:val="24"/>
          <w:szCs w:val="24"/>
        </w:rPr>
        <w:t>ŘSD na pořízení a provoz těchto vah pro VKV vynaložilo p</w:t>
      </w:r>
      <w:r w:rsidR="00FE54C8" w:rsidRPr="00EB4956">
        <w:rPr>
          <w:rFonts w:eastAsia="Calibri" w:cstheme="minorHAnsi"/>
          <w:sz w:val="24"/>
          <w:szCs w:val="24"/>
        </w:rPr>
        <w:t xml:space="preserve">eněžní prostředky v celkové výši </w:t>
      </w:r>
      <w:r w:rsidR="0045531B" w:rsidRPr="00EB4956">
        <w:rPr>
          <w:rFonts w:eastAsia="Calibri" w:cstheme="minorHAnsi"/>
          <w:sz w:val="24"/>
          <w:szCs w:val="24"/>
        </w:rPr>
        <w:t>22 074 276,94 Kč</w:t>
      </w:r>
      <w:r w:rsidR="00EB4956" w:rsidRPr="00EB4956">
        <w:rPr>
          <w:rFonts w:eastAsia="Calibri" w:cstheme="minorHAnsi"/>
          <w:sz w:val="24"/>
          <w:szCs w:val="24"/>
        </w:rPr>
        <w:t xml:space="preserve"> (včetně DPH)</w:t>
      </w:r>
      <w:r w:rsidR="004F6908">
        <w:rPr>
          <w:rFonts w:eastAsia="Calibri" w:cstheme="minorHAnsi"/>
          <w:sz w:val="24"/>
          <w:szCs w:val="24"/>
        </w:rPr>
        <w:t xml:space="preserve"> neúčelně</w:t>
      </w:r>
      <w:r w:rsidR="00841D4F">
        <w:rPr>
          <w:rFonts w:eastAsia="Calibri" w:cstheme="minorHAnsi"/>
          <w:sz w:val="24"/>
          <w:szCs w:val="24"/>
        </w:rPr>
        <w:t xml:space="preserve"> a </w:t>
      </w:r>
      <w:r w:rsidR="004F6908">
        <w:rPr>
          <w:rFonts w:eastAsia="Calibri" w:cstheme="minorHAnsi"/>
          <w:sz w:val="24"/>
          <w:szCs w:val="24"/>
        </w:rPr>
        <w:t>nehospodárně</w:t>
      </w:r>
      <w:r w:rsidR="00EB4956">
        <w:rPr>
          <w:rFonts w:eastAsia="Calibri" w:cstheme="minorHAnsi"/>
          <w:sz w:val="24"/>
          <w:szCs w:val="24"/>
        </w:rPr>
        <w:t>.</w:t>
      </w:r>
    </w:p>
    <w:p w14:paraId="37253918" w14:textId="77777777" w:rsidR="00FF1C2D" w:rsidRDefault="00FF1C2D" w:rsidP="002C4E3B">
      <w:pPr>
        <w:spacing w:after="0" w:line="252" w:lineRule="auto"/>
        <w:contextualSpacing/>
        <w:rPr>
          <w:rFonts w:eastAsia="Calibri" w:cstheme="minorHAnsi"/>
          <w:sz w:val="24"/>
          <w:szCs w:val="24"/>
          <w:highlight w:val="yellow"/>
        </w:rPr>
      </w:pPr>
    </w:p>
    <w:p w14:paraId="2A0C0FCF" w14:textId="6D72C71F" w:rsidR="00EB4956" w:rsidRDefault="00FF1C2D" w:rsidP="00EB4956">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41 </w:t>
      </w:r>
      <w:r w:rsidR="00431DB3">
        <w:rPr>
          <w:rFonts w:eastAsia="Calibri" w:cstheme="minorHAnsi"/>
          <w:sz w:val="24"/>
          <w:szCs w:val="24"/>
        </w:rPr>
        <w:t xml:space="preserve">Kvůli nedostatečné koordinaci provádění rekonstrukce </w:t>
      </w:r>
      <w:r w:rsidR="00CA1180">
        <w:rPr>
          <w:rFonts w:eastAsia="Calibri" w:cstheme="minorHAnsi"/>
          <w:sz w:val="24"/>
          <w:szCs w:val="24"/>
        </w:rPr>
        <w:t xml:space="preserve">úseku </w:t>
      </w:r>
      <w:r w:rsidR="00431DB3">
        <w:rPr>
          <w:rFonts w:eastAsia="Calibri" w:cstheme="minorHAnsi"/>
          <w:sz w:val="24"/>
          <w:szCs w:val="24"/>
        </w:rPr>
        <w:t xml:space="preserve">dálnice </w:t>
      </w:r>
      <w:r w:rsidR="00CA1180">
        <w:rPr>
          <w:rFonts w:eastAsia="Calibri" w:cstheme="minorHAnsi"/>
          <w:sz w:val="24"/>
          <w:szCs w:val="24"/>
        </w:rPr>
        <w:t xml:space="preserve">D2 </w:t>
      </w:r>
      <w:r w:rsidR="00431DB3">
        <w:rPr>
          <w:rFonts w:eastAsia="Calibri" w:cstheme="minorHAnsi"/>
          <w:sz w:val="24"/>
          <w:szCs w:val="24"/>
        </w:rPr>
        <w:t xml:space="preserve">a instalace vysokorychlostní váhy </w:t>
      </w:r>
      <w:r w:rsidR="00003CFE" w:rsidRPr="00431DB3">
        <w:rPr>
          <w:rFonts w:eastAsia="Calibri" w:cstheme="minorHAnsi"/>
          <w:sz w:val="24"/>
          <w:szCs w:val="24"/>
        </w:rPr>
        <w:t xml:space="preserve">vynaložilo </w:t>
      </w:r>
      <w:r w:rsidR="00430506" w:rsidRPr="00431DB3">
        <w:rPr>
          <w:rFonts w:eastAsia="Calibri" w:cstheme="minorHAnsi"/>
          <w:sz w:val="24"/>
          <w:szCs w:val="24"/>
        </w:rPr>
        <w:t xml:space="preserve">ŘSD </w:t>
      </w:r>
      <w:r w:rsidR="00BF085F">
        <w:rPr>
          <w:rFonts w:eastAsia="Calibri" w:cstheme="minorHAnsi"/>
          <w:sz w:val="24"/>
          <w:szCs w:val="24"/>
        </w:rPr>
        <w:t>v roc</w:t>
      </w:r>
      <w:r w:rsidR="00BF085F" w:rsidRPr="00EC0109">
        <w:rPr>
          <w:rFonts w:eastAsia="Calibri" w:cstheme="minorHAnsi"/>
          <w:sz w:val="24"/>
          <w:szCs w:val="24"/>
        </w:rPr>
        <w:t xml:space="preserve">e </w:t>
      </w:r>
      <w:r w:rsidR="00EC0109" w:rsidRPr="00EC0109">
        <w:rPr>
          <w:rFonts w:eastAsia="Calibri" w:cstheme="minorHAnsi"/>
          <w:sz w:val="24"/>
          <w:szCs w:val="24"/>
        </w:rPr>
        <w:t>2021</w:t>
      </w:r>
      <w:r w:rsidR="00BF085F">
        <w:rPr>
          <w:rFonts w:eastAsia="Calibri" w:cstheme="minorHAnsi"/>
          <w:sz w:val="24"/>
          <w:szCs w:val="24"/>
        </w:rPr>
        <w:t xml:space="preserve"> </w:t>
      </w:r>
      <w:r w:rsidR="00431DB3">
        <w:rPr>
          <w:rFonts w:eastAsia="Calibri" w:cstheme="minorHAnsi"/>
          <w:sz w:val="24"/>
          <w:szCs w:val="24"/>
        </w:rPr>
        <w:t xml:space="preserve">nehospodárně </w:t>
      </w:r>
      <w:r w:rsidR="00EB4956" w:rsidRPr="00EB4956">
        <w:rPr>
          <w:rFonts w:eastAsia="Calibri" w:cstheme="minorHAnsi"/>
          <w:sz w:val="24"/>
          <w:szCs w:val="24"/>
        </w:rPr>
        <w:t>peněžní prostředky ve výši 6</w:t>
      </w:r>
      <w:r w:rsidR="00003CFE">
        <w:rPr>
          <w:rFonts w:eastAsia="Calibri" w:cstheme="minorHAnsi"/>
          <w:sz w:val="24"/>
          <w:szCs w:val="24"/>
        </w:rPr>
        <w:t> </w:t>
      </w:r>
      <w:r w:rsidR="00EB4956" w:rsidRPr="00EB4956">
        <w:rPr>
          <w:rFonts w:eastAsia="Calibri" w:cstheme="minorHAnsi"/>
          <w:sz w:val="24"/>
          <w:szCs w:val="24"/>
        </w:rPr>
        <w:t>834 241,69 Kč (včetně DPH</w:t>
      </w:r>
      <w:r w:rsidR="00CA1180">
        <w:rPr>
          <w:rFonts w:eastAsia="Calibri" w:cstheme="minorHAnsi"/>
          <w:sz w:val="24"/>
          <w:szCs w:val="24"/>
        </w:rPr>
        <w:t xml:space="preserve">). Úpravy povrchu </w:t>
      </w:r>
      <w:r w:rsidR="00CA1180" w:rsidRPr="00EB4956">
        <w:rPr>
          <w:rFonts w:eastAsia="Calibri" w:cstheme="minorHAnsi"/>
          <w:sz w:val="24"/>
          <w:szCs w:val="24"/>
        </w:rPr>
        <w:t>rekonstruovaného úseku v</w:t>
      </w:r>
      <w:r w:rsidR="00003CFE">
        <w:rPr>
          <w:rFonts w:eastAsia="Calibri" w:cstheme="minorHAnsi"/>
          <w:sz w:val="24"/>
          <w:szCs w:val="24"/>
        </w:rPr>
        <w:t> </w:t>
      </w:r>
      <w:r w:rsidR="00CA1180" w:rsidRPr="00EB4956">
        <w:rPr>
          <w:rFonts w:eastAsia="Calibri" w:cstheme="minorHAnsi"/>
          <w:sz w:val="24"/>
          <w:szCs w:val="24"/>
        </w:rPr>
        <w:t>místě instalace váhy pro VKV</w:t>
      </w:r>
      <w:r w:rsidR="00CA1180">
        <w:rPr>
          <w:rFonts w:eastAsia="Calibri" w:cstheme="minorHAnsi"/>
          <w:sz w:val="24"/>
          <w:szCs w:val="24"/>
        </w:rPr>
        <w:t xml:space="preserve"> provádělo až dodatečně</w:t>
      </w:r>
      <w:r w:rsidR="00431DB3">
        <w:rPr>
          <w:rFonts w:eastAsia="Calibri" w:cstheme="minorHAnsi"/>
          <w:sz w:val="24"/>
          <w:szCs w:val="24"/>
        </w:rPr>
        <w:t xml:space="preserve">, </w:t>
      </w:r>
      <w:r w:rsidR="00CA1180">
        <w:rPr>
          <w:rFonts w:eastAsia="Calibri" w:cstheme="minorHAnsi"/>
          <w:sz w:val="24"/>
          <w:szCs w:val="24"/>
        </w:rPr>
        <w:t>když zjistilo, že</w:t>
      </w:r>
      <w:r w:rsidR="00EC0109">
        <w:rPr>
          <w:rFonts w:eastAsia="Calibri" w:cstheme="minorHAnsi"/>
          <w:sz w:val="24"/>
          <w:szCs w:val="24"/>
        </w:rPr>
        <w:t xml:space="preserve"> </w:t>
      </w:r>
      <w:r w:rsidR="00431DB3">
        <w:rPr>
          <w:rFonts w:eastAsia="Calibri" w:cstheme="minorHAnsi"/>
          <w:sz w:val="24"/>
          <w:szCs w:val="24"/>
        </w:rPr>
        <w:t>rekonstruovaný povrch nesplň</w:t>
      </w:r>
      <w:r w:rsidR="00003CFE">
        <w:rPr>
          <w:rFonts w:eastAsia="Calibri" w:cstheme="minorHAnsi"/>
          <w:sz w:val="24"/>
          <w:szCs w:val="24"/>
        </w:rPr>
        <w:t>uje</w:t>
      </w:r>
      <w:r w:rsidR="00431DB3">
        <w:rPr>
          <w:rFonts w:eastAsia="Calibri" w:cstheme="minorHAnsi"/>
          <w:sz w:val="24"/>
          <w:szCs w:val="24"/>
        </w:rPr>
        <w:t xml:space="preserve"> podmínky pro VKV. Oproti původnímu plánu rovněž došlo k</w:t>
      </w:r>
      <w:r w:rsidR="00EC0109">
        <w:rPr>
          <w:rFonts w:eastAsia="Calibri" w:cstheme="minorHAnsi"/>
          <w:sz w:val="24"/>
          <w:szCs w:val="24"/>
        </w:rPr>
        <w:t>e z</w:t>
      </w:r>
      <w:r w:rsidR="00431DB3">
        <w:rPr>
          <w:rFonts w:eastAsia="Calibri" w:cstheme="minorHAnsi"/>
          <w:sz w:val="24"/>
          <w:szCs w:val="24"/>
        </w:rPr>
        <w:t xml:space="preserve">poždění zprovoznění </w:t>
      </w:r>
      <w:r w:rsidR="00BF085F">
        <w:rPr>
          <w:rFonts w:eastAsia="Calibri" w:cstheme="minorHAnsi"/>
          <w:sz w:val="24"/>
          <w:szCs w:val="24"/>
        </w:rPr>
        <w:t xml:space="preserve">předmětné </w:t>
      </w:r>
      <w:r w:rsidR="00431DB3">
        <w:rPr>
          <w:rFonts w:eastAsia="Calibri" w:cstheme="minorHAnsi"/>
          <w:sz w:val="24"/>
          <w:szCs w:val="24"/>
        </w:rPr>
        <w:t>váhy</w:t>
      </w:r>
      <w:r w:rsidR="00CA1180">
        <w:rPr>
          <w:rFonts w:eastAsia="Calibri" w:cstheme="minorHAnsi"/>
          <w:sz w:val="24"/>
          <w:szCs w:val="24"/>
        </w:rPr>
        <w:t xml:space="preserve"> pro VKV</w:t>
      </w:r>
      <w:r w:rsidR="00431DB3">
        <w:rPr>
          <w:rFonts w:eastAsia="Calibri" w:cstheme="minorHAnsi"/>
          <w:sz w:val="24"/>
          <w:szCs w:val="24"/>
        </w:rPr>
        <w:t xml:space="preserve"> o 14 měsíců. </w:t>
      </w:r>
    </w:p>
    <w:p w14:paraId="4BE1AA8A" w14:textId="77777777" w:rsidR="00ED544D" w:rsidRDefault="00ED544D" w:rsidP="00EB4956">
      <w:pPr>
        <w:spacing w:after="0" w:line="252" w:lineRule="auto"/>
        <w:contextualSpacing/>
        <w:jc w:val="both"/>
        <w:rPr>
          <w:rFonts w:eastAsia="Calibri" w:cstheme="minorHAnsi"/>
          <w:sz w:val="24"/>
          <w:szCs w:val="24"/>
        </w:rPr>
      </w:pPr>
    </w:p>
    <w:p w14:paraId="14140FD0" w14:textId="20027B81" w:rsidR="00BF085F" w:rsidRPr="00EB4956" w:rsidRDefault="00FF1C2D" w:rsidP="00EB4956">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42 </w:t>
      </w:r>
      <w:r w:rsidR="004C4415">
        <w:rPr>
          <w:rFonts w:eastAsia="Calibri" w:cstheme="minorHAnsi"/>
          <w:sz w:val="24"/>
          <w:szCs w:val="24"/>
        </w:rPr>
        <w:t>V</w:t>
      </w:r>
      <w:r w:rsidR="00CA1180">
        <w:rPr>
          <w:rFonts w:eastAsia="Calibri" w:cstheme="minorHAnsi"/>
          <w:sz w:val="24"/>
          <w:szCs w:val="24"/>
        </w:rPr>
        <w:t xml:space="preserve">ysokorychlostní </w:t>
      </w:r>
      <w:r w:rsidR="00BF085F">
        <w:rPr>
          <w:rFonts w:eastAsia="Calibri" w:cstheme="minorHAnsi"/>
          <w:sz w:val="24"/>
          <w:szCs w:val="24"/>
        </w:rPr>
        <w:t>váhu umístěnou na dálnici D8 v 5,0 km vlevo</w:t>
      </w:r>
      <w:r w:rsidR="00CE41BF">
        <w:rPr>
          <w:rFonts w:eastAsia="Calibri" w:cstheme="minorHAnsi"/>
          <w:sz w:val="24"/>
          <w:szCs w:val="24"/>
        </w:rPr>
        <w:t xml:space="preserve"> (směr Praha</w:t>
      </w:r>
      <w:r w:rsidR="00CD70DB">
        <w:rPr>
          <w:rFonts w:eastAsia="Calibri" w:cstheme="minorHAnsi"/>
          <w:sz w:val="24"/>
          <w:szCs w:val="24"/>
        </w:rPr>
        <w:t>, ORP Brandýs nad Labem</w:t>
      </w:r>
      <w:r w:rsidR="00CE41BF">
        <w:rPr>
          <w:rFonts w:eastAsia="Calibri" w:cstheme="minorHAnsi"/>
          <w:sz w:val="24"/>
          <w:szCs w:val="24"/>
        </w:rPr>
        <w:t>)</w:t>
      </w:r>
      <w:r w:rsidR="00BF085F">
        <w:rPr>
          <w:rFonts w:eastAsia="Calibri" w:cstheme="minorHAnsi"/>
          <w:sz w:val="24"/>
          <w:szCs w:val="24"/>
        </w:rPr>
        <w:t xml:space="preserve"> </w:t>
      </w:r>
      <w:r w:rsidR="004C4415">
        <w:rPr>
          <w:rFonts w:eastAsia="Calibri" w:cstheme="minorHAnsi"/>
          <w:sz w:val="24"/>
          <w:szCs w:val="24"/>
        </w:rPr>
        <w:t xml:space="preserve">vybavilo ŘSD v roce 2022 </w:t>
      </w:r>
      <w:r w:rsidR="00BF085F" w:rsidRPr="00BF085F">
        <w:rPr>
          <w:rFonts w:eastAsia="Calibri" w:cstheme="minorHAnsi"/>
          <w:sz w:val="24"/>
          <w:szCs w:val="24"/>
        </w:rPr>
        <w:t>funkcionalit</w:t>
      </w:r>
      <w:r w:rsidR="004C4415">
        <w:rPr>
          <w:rFonts w:eastAsia="Calibri" w:cstheme="minorHAnsi"/>
          <w:sz w:val="24"/>
          <w:szCs w:val="24"/>
        </w:rPr>
        <w:t>ou</w:t>
      </w:r>
      <w:r w:rsidR="00BF085F" w:rsidRPr="00BF085F">
        <w:rPr>
          <w:rFonts w:eastAsia="Calibri" w:cstheme="minorHAnsi"/>
          <w:sz w:val="24"/>
          <w:szCs w:val="24"/>
        </w:rPr>
        <w:t>, která byla pro toto zařízení nadbytečná, neboť t</w:t>
      </w:r>
      <w:r w:rsidR="00EC0109">
        <w:rPr>
          <w:rFonts w:eastAsia="Calibri" w:cstheme="minorHAnsi"/>
          <w:sz w:val="24"/>
          <w:szCs w:val="24"/>
        </w:rPr>
        <w:t>a</w:t>
      </w:r>
      <w:r w:rsidR="00BF085F" w:rsidRPr="00BF085F">
        <w:rPr>
          <w:rFonts w:eastAsia="Calibri" w:cstheme="minorHAnsi"/>
          <w:sz w:val="24"/>
          <w:szCs w:val="24"/>
        </w:rPr>
        <w:t>to váha nebyl</w:t>
      </w:r>
      <w:r w:rsidR="004F6908">
        <w:rPr>
          <w:rFonts w:eastAsia="Calibri" w:cstheme="minorHAnsi"/>
          <w:sz w:val="24"/>
          <w:szCs w:val="24"/>
        </w:rPr>
        <w:t>a</w:t>
      </w:r>
      <w:r w:rsidR="00BF085F" w:rsidRPr="00BF085F">
        <w:rPr>
          <w:rFonts w:eastAsia="Calibri" w:cstheme="minorHAnsi"/>
          <w:sz w:val="24"/>
          <w:szCs w:val="24"/>
        </w:rPr>
        <w:t xml:space="preserve"> </w:t>
      </w:r>
      <w:r w:rsidR="00615D56">
        <w:rPr>
          <w:rFonts w:eastAsia="Calibri" w:cstheme="minorHAnsi"/>
          <w:sz w:val="24"/>
          <w:szCs w:val="24"/>
        </w:rPr>
        <w:t>používána</w:t>
      </w:r>
      <w:r w:rsidR="004F6908">
        <w:rPr>
          <w:rFonts w:eastAsia="Calibri" w:cstheme="minorHAnsi"/>
          <w:sz w:val="24"/>
          <w:szCs w:val="24"/>
        </w:rPr>
        <w:t xml:space="preserve"> </w:t>
      </w:r>
      <w:r w:rsidR="00BF085F" w:rsidRPr="00BF085F">
        <w:rPr>
          <w:rFonts w:eastAsia="Calibri" w:cstheme="minorHAnsi"/>
          <w:sz w:val="24"/>
          <w:szCs w:val="24"/>
        </w:rPr>
        <w:t xml:space="preserve">pro </w:t>
      </w:r>
      <w:r w:rsidR="004F6908">
        <w:rPr>
          <w:rFonts w:eastAsia="Calibri" w:cstheme="minorHAnsi"/>
          <w:sz w:val="24"/>
          <w:szCs w:val="24"/>
        </w:rPr>
        <w:t>VKV</w:t>
      </w:r>
      <w:r w:rsidR="00615D56">
        <w:rPr>
          <w:rFonts w:eastAsia="Calibri" w:cstheme="minorHAnsi"/>
          <w:sz w:val="24"/>
          <w:szCs w:val="24"/>
        </w:rPr>
        <w:t xml:space="preserve"> s přímým postihem, ale </w:t>
      </w:r>
      <w:r w:rsidR="00615D56" w:rsidRPr="00615D56">
        <w:rPr>
          <w:rFonts w:eastAsia="Calibri" w:cstheme="minorHAnsi"/>
          <w:sz w:val="24"/>
          <w:szCs w:val="24"/>
        </w:rPr>
        <w:t>především pro testování technologie a statistiku</w:t>
      </w:r>
      <w:r w:rsidR="004F6908" w:rsidRPr="004F6908">
        <w:rPr>
          <w:rFonts w:eastAsia="Calibri" w:cstheme="minorHAnsi"/>
          <w:sz w:val="24"/>
          <w:szCs w:val="24"/>
        </w:rPr>
        <w:t>.</w:t>
      </w:r>
      <w:r w:rsidR="00BF085F">
        <w:rPr>
          <w:rFonts w:eastAsia="Calibri" w:cstheme="minorHAnsi"/>
          <w:sz w:val="24"/>
          <w:szCs w:val="24"/>
        </w:rPr>
        <w:t xml:space="preserve"> </w:t>
      </w:r>
      <w:r w:rsidR="004F6908">
        <w:rPr>
          <w:rFonts w:eastAsia="Calibri" w:cstheme="minorHAnsi"/>
          <w:sz w:val="24"/>
          <w:szCs w:val="24"/>
        </w:rPr>
        <w:t xml:space="preserve">ŘSD </w:t>
      </w:r>
      <w:r w:rsidR="00BF085F">
        <w:rPr>
          <w:rFonts w:eastAsia="Calibri" w:cstheme="minorHAnsi"/>
          <w:sz w:val="24"/>
          <w:szCs w:val="24"/>
        </w:rPr>
        <w:t xml:space="preserve">tak </w:t>
      </w:r>
      <w:r w:rsidR="004F6908">
        <w:rPr>
          <w:rFonts w:eastAsia="Calibri" w:cstheme="minorHAnsi"/>
          <w:sz w:val="24"/>
          <w:szCs w:val="24"/>
        </w:rPr>
        <w:t xml:space="preserve">vynaložilo </w:t>
      </w:r>
      <w:r w:rsidR="00BF085F">
        <w:rPr>
          <w:rFonts w:eastAsia="Calibri" w:cstheme="minorHAnsi"/>
          <w:sz w:val="24"/>
          <w:szCs w:val="24"/>
        </w:rPr>
        <w:t>peněžní prostředky</w:t>
      </w:r>
      <w:r w:rsidR="00BF085F" w:rsidRPr="00BF085F">
        <w:rPr>
          <w:rFonts w:eastAsia="Calibri" w:cstheme="minorHAnsi"/>
          <w:sz w:val="24"/>
          <w:szCs w:val="24"/>
        </w:rPr>
        <w:t xml:space="preserve"> </w:t>
      </w:r>
      <w:r w:rsidR="00BF085F">
        <w:rPr>
          <w:rFonts w:eastAsia="Calibri" w:cstheme="minorHAnsi"/>
          <w:sz w:val="24"/>
          <w:szCs w:val="24"/>
        </w:rPr>
        <w:t>ve výši 12 100 Kč (včetně DPH)</w:t>
      </w:r>
      <w:r w:rsidR="004F6908">
        <w:rPr>
          <w:rFonts w:eastAsia="Calibri" w:cstheme="minorHAnsi"/>
          <w:sz w:val="24"/>
          <w:szCs w:val="24"/>
        </w:rPr>
        <w:t xml:space="preserve"> </w:t>
      </w:r>
      <w:r w:rsidR="00EC0109">
        <w:rPr>
          <w:rFonts w:eastAsia="Calibri" w:cstheme="minorHAnsi"/>
          <w:sz w:val="24"/>
          <w:szCs w:val="24"/>
        </w:rPr>
        <w:t xml:space="preserve">na implementaci nevyužité funkcionality </w:t>
      </w:r>
      <w:r w:rsidR="004F6908">
        <w:rPr>
          <w:rFonts w:eastAsia="Calibri" w:cstheme="minorHAnsi"/>
          <w:sz w:val="24"/>
          <w:szCs w:val="24"/>
        </w:rPr>
        <w:t>neúčelně</w:t>
      </w:r>
      <w:r w:rsidR="00841D4F">
        <w:rPr>
          <w:rFonts w:eastAsia="Calibri" w:cstheme="minorHAnsi"/>
          <w:sz w:val="24"/>
          <w:szCs w:val="24"/>
        </w:rPr>
        <w:t xml:space="preserve"> a</w:t>
      </w:r>
      <w:r w:rsidR="004F6908">
        <w:rPr>
          <w:rFonts w:eastAsia="Calibri" w:cstheme="minorHAnsi"/>
          <w:sz w:val="24"/>
          <w:szCs w:val="24"/>
        </w:rPr>
        <w:t xml:space="preserve"> nehospodárně.</w:t>
      </w:r>
    </w:p>
    <w:p w14:paraId="60AF691D" w14:textId="77777777" w:rsidR="00430506" w:rsidRPr="004F6908" w:rsidRDefault="00430506" w:rsidP="002C4E3B">
      <w:pPr>
        <w:spacing w:after="0" w:line="252" w:lineRule="auto"/>
        <w:contextualSpacing/>
        <w:rPr>
          <w:rFonts w:eastAsia="Calibri" w:cstheme="minorHAnsi"/>
          <w:sz w:val="24"/>
          <w:szCs w:val="24"/>
        </w:rPr>
      </w:pPr>
    </w:p>
    <w:p w14:paraId="44607379" w14:textId="151FCEED" w:rsidR="00772241" w:rsidRPr="004F6908" w:rsidRDefault="00FF1C2D" w:rsidP="00D31915">
      <w:pPr>
        <w:spacing w:after="0" w:line="252" w:lineRule="auto"/>
        <w:contextualSpacing/>
        <w:jc w:val="both"/>
        <w:rPr>
          <w:rFonts w:eastAsia="Calibri" w:cstheme="minorHAnsi"/>
          <w:sz w:val="24"/>
          <w:szCs w:val="24"/>
        </w:rPr>
      </w:pPr>
      <w:r>
        <w:rPr>
          <w:rFonts w:eastAsia="Calibri" w:cstheme="minorHAnsi"/>
          <w:sz w:val="24"/>
          <w:szCs w:val="24"/>
        </w:rPr>
        <w:lastRenderedPageBreak/>
        <w:t>4.</w:t>
      </w:r>
      <w:r w:rsidR="00CE41BF">
        <w:rPr>
          <w:rFonts w:eastAsia="Calibri" w:cstheme="minorHAnsi"/>
          <w:sz w:val="24"/>
          <w:szCs w:val="24"/>
        </w:rPr>
        <w:t xml:space="preserve">43 </w:t>
      </w:r>
      <w:r w:rsidR="00D31915" w:rsidRPr="004F6908">
        <w:rPr>
          <w:rFonts w:eastAsia="Calibri" w:cstheme="minorHAnsi"/>
          <w:sz w:val="24"/>
          <w:szCs w:val="24"/>
        </w:rPr>
        <w:t xml:space="preserve">Tím, že ŘSD </w:t>
      </w:r>
      <w:r w:rsidR="00CA1180">
        <w:rPr>
          <w:rFonts w:eastAsia="Calibri" w:cstheme="minorHAnsi"/>
          <w:sz w:val="24"/>
          <w:szCs w:val="24"/>
        </w:rPr>
        <w:t>(</w:t>
      </w:r>
      <w:r w:rsidR="00D31915" w:rsidRPr="004F6908">
        <w:rPr>
          <w:rFonts w:eastAsia="Calibri" w:cstheme="minorHAnsi"/>
          <w:sz w:val="24"/>
          <w:szCs w:val="24"/>
        </w:rPr>
        <w:t xml:space="preserve">jako státní příspěvková organizace do 31. 12. 2023) </w:t>
      </w:r>
      <w:r w:rsidR="004F6908" w:rsidRPr="004F6908">
        <w:rPr>
          <w:rFonts w:eastAsia="Calibri" w:cstheme="minorHAnsi"/>
          <w:sz w:val="24"/>
          <w:szCs w:val="24"/>
        </w:rPr>
        <w:t xml:space="preserve">ve výše uvedených třech </w:t>
      </w:r>
      <w:r w:rsidR="004F6908" w:rsidRPr="000F4B0E">
        <w:rPr>
          <w:rFonts w:eastAsia="Calibri" w:cstheme="minorHAnsi"/>
          <w:sz w:val="24"/>
          <w:szCs w:val="24"/>
        </w:rPr>
        <w:t xml:space="preserve">případech </w:t>
      </w:r>
      <w:r w:rsidR="00AB0823" w:rsidRPr="000F4B0E">
        <w:rPr>
          <w:rFonts w:eastAsia="Calibri" w:cstheme="minorHAnsi"/>
          <w:sz w:val="24"/>
          <w:szCs w:val="24"/>
        </w:rPr>
        <w:t>(viz odst. 4.</w:t>
      </w:r>
      <w:r w:rsidR="00841D4F">
        <w:rPr>
          <w:rFonts w:eastAsia="Calibri" w:cstheme="minorHAnsi"/>
          <w:sz w:val="24"/>
          <w:szCs w:val="24"/>
        </w:rPr>
        <w:t>40</w:t>
      </w:r>
      <w:r w:rsidR="00AB0823" w:rsidRPr="000F4B0E">
        <w:rPr>
          <w:rFonts w:eastAsia="Calibri" w:cstheme="minorHAnsi"/>
          <w:sz w:val="24"/>
          <w:szCs w:val="24"/>
        </w:rPr>
        <w:t>–4.</w:t>
      </w:r>
      <w:r w:rsidR="00841D4F" w:rsidRPr="000F4B0E">
        <w:rPr>
          <w:rFonts w:eastAsia="Calibri" w:cstheme="minorHAnsi"/>
          <w:sz w:val="24"/>
          <w:szCs w:val="24"/>
        </w:rPr>
        <w:t>4</w:t>
      </w:r>
      <w:r w:rsidR="00841D4F">
        <w:rPr>
          <w:rFonts w:eastAsia="Calibri" w:cstheme="minorHAnsi"/>
          <w:sz w:val="24"/>
          <w:szCs w:val="24"/>
        </w:rPr>
        <w:t>2</w:t>
      </w:r>
      <w:r w:rsidR="00AB0823" w:rsidRPr="000F4B0E">
        <w:rPr>
          <w:rFonts w:eastAsia="Calibri" w:cstheme="minorHAnsi"/>
          <w:sz w:val="24"/>
          <w:szCs w:val="24"/>
        </w:rPr>
        <w:t xml:space="preserve">) </w:t>
      </w:r>
      <w:r w:rsidR="00D31915" w:rsidRPr="000F4B0E">
        <w:rPr>
          <w:rFonts w:eastAsia="Calibri" w:cstheme="minorHAnsi"/>
          <w:sz w:val="24"/>
          <w:szCs w:val="24"/>
        </w:rPr>
        <w:t>uskutečnilo</w:t>
      </w:r>
      <w:r w:rsidR="00D31915" w:rsidRPr="004F6908">
        <w:rPr>
          <w:rFonts w:eastAsia="Calibri" w:cstheme="minorHAnsi"/>
          <w:sz w:val="24"/>
          <w:szCs w:val="24"/>
        </w:rPr>
        <w:t xml:space="preserve"> výdej, jehož provedením porušilo ustanovení </w:t>
      </w:r>
      <w:r w:rsidR="00AB0823">
        <w:rPr>
          <w:rFonts w:eastAsia="Calibri" w:cstheme="minorHAnsi"/>
          <w:sz w:val="24"/>
          <w:szCs w:val="24"/>
        </w:rPr>
        <w:br/>
      </w:r>
      <w:r w:rsidR="00D31915" w:rsidRPr="004F6908">
        <w:rPr>
          <w:rFonts w:eastAsia="Calibri" w:cstheme="minorHAnsi"/>
          <w:sz w:val="24"/>
          <w:szCs w:val="24"/>
        </w:rPr>
        <w:t>§ 53 odst. 4 zákona</w:t>
      </w:r>
      <w:r w:rsidR="00AB0823">
        <w:rPr>
          <w:rFonts w:eastAsia="Calibri" w:cstheme="minorHAnsi"/>
          <w:sz w:val="24"/>
          <w:szCs w:val="24"/>
        </w:rPr>
        <w:t xml:space="preserve"> </w:t>
      </w:r>
      <w:r w:rsidR="00D31915" w:rsidRPr="004F6908">
        <w:rPr>
          <w:rFonts w:eastAsia="Calibri" w:cstheme="minorHAnsi"/>
          <w:sz w:val="24"/>
          <w:szCs w:val="24"/>
        </w:rPr>
        <w:t>č. 218/2000 Sb.</w:t>
      </w:r>
      <w:r w:rsidR="00C1024C">
        <w:rPr>
          <w:rFonts w:eastAsia="Calibri" w:cstheme="minorHAnsi"/>
          <w:sz w:val="24"/>
          <w:szCs w:val="24"/>
        </w:rPr>
        <w:t xml:space="preserve">, </w:t>
      </w:r>
      <w:r w:rsidR="00D31915" w:rsidRPr="004F6908">
        <w:rPr>
          <w:rFonts w:eastAsia="Calibri" w:cstheme="minorHAnsi"/>
          <w:sz w:val="24"/>
          <w:szCs w:val="24"/>
        </w:rPr>
        <w:t>neoprávněně použilo jiné peněžní prostředky státu ve smyslu ustanovení</w:t>
      </w:r>
      <w:r w:rsidR="00AB0823">
        <w:rPr>
          <w:rFonts w:eastAsia="Calibri" w:cstheme="minorHAnsi"/>
          <w:sz w:val="24"/>
          <w:szCs w:val="24"/>
        </w:rPr>
        <w:t xml:space="preserve"> </w:t>
      </w:r>
      <w:r w:rsidR="00D31915" w:rsidRPr="004F6908">
        <w:rPr>
          <w:rFonts w:eastAsia="Calibri" w:cstheme="minorHAnsi"/>
          <w:sz w:val="24"/>
          <w:szCs w:val="24"/>
        </w:rPr>
        <w:t xml:space="preserve">§ 3 písm. e) zákona č. 218/2000 Sb. až do výše </w:t>
      </w:r>
      <w:r w:rsidR="004F6908" w:rsidRPr="004F6908">
        <w:rPr>
          <w:rFonts w:eastAsia="Calibri" w:cstheme="minorHAnsi"/>
          <w:sz w:val="24"/>
          <w:szCs w:val="24"/>
        </w:rPr>
        <w:t>28 920 618,63</w:t>
      </w:r>
      <w:r w:rsidR="00D31915" w:rsidRPr="004F6908">
        <w:rPr>
          <w:rFonts w:eastAsia="Calibri" w:cstheme="minorHAnsi"/>
          <w:sz w:val="24"/>
          <w:szCs w:val="24"/>
        </w:rPr>
        <w:t xml:space="preserve"> Kč</w:t>
      </w:r>
      <w:r w:rsidR="00A33C87">
        <w:rPr>
          <w:rFonts w:eastAsia="Calibri" w:cstheme="minorHAnsi"/>
          <w:sz w:val="24"/>
          <w:szCs w:val="24"/>
        </w:rPr>
        <w:t xml:space="preserve">, což </w:t>
      </w:r>
      <w:r w:rsidR="00A33C87" w:rsidRPr="00EC0109">
        <w:rPr>
          <w:rFonts w:cstheme="minorHAnsi"/>
          <w:sz w:val="24"/>
          <w:szCs w:val="24"/>
        </w:rPr>
        <w:t>NKÚ vyhodnotil jako skutečnost nasvědčující porušení rozpočtové kázn</w:t>
      </w:r>
      <w:r w:rsidR="00A33C87">
        <w:rPr>
          <w:rFonts w:cstheme="minorHAnsi"/>
          <w:sz w:val="24"/>
          <w:szCs w:val="24"/>
        </w:rPr>
        <w:t>ě podle</w:t>
      </w:r>
      <w:r w:rsidR="00D31915" w:rsidRPr="004F6908">
        <w:rPr>
          <w:rFonts w:eastAsia="Calibri" w:cstheme="minorHAnsi"/>
          <w:sz w:val="24"/>
          <w:szCs w:val="24"/>
        </w:rPr>
        <w:t xml:space="preserve"> § 44 odst. 1 písm. a) zákona č. 218/</w:t>
      </w:r>
      <w:r w:rsidR="004C4415">
        <w:rPr>
          <w:rFonts w:eastAsia="Calibri" w:cstheme="minorHAnsi"/>
          <w:sz w:val="24"/>
          <w:szCs w:val="24"/>
        </w:rPr>
        <w:t>2000</w:t>
      </w:r>
      <w:r w:rsidR="00D31915" w:rsidRPr="004F6908">
        <w:rPr>
          <w:rFonts w:eastAsia="Calibri" w:cstheme="minorHAnsi"/>
          <w:sz w:val="24"/>
          <w:szCs w:val="24"/>
        </w:rPr>
        <w:t xml:space="preserve"> Sb.</w:t>
      </w:r>
    </w:p>
    <w:p w14:paraId="433ABF0D" w14:textId="77777777" w:rsidR="008B5AC4" w:rsidRDefault="008B5AC4" w:rsidP="00D31915">
      <w:pPr>
        <w:spacing w:after="0" w:line="252" w:lineRule="auto"/>
        <w:contextualSpacing/>
        <w:jc w:val="both"/>
        <w:rPr>
          <w:rFonts w:eastAsia="Calibri" w:cstheme="minorHAnsi"/>
          <w:sz w:val="24"/>
          <w:szCs w:val="24"/>
        </w:rPr>
      </w:pPr>
    </w:p>
    <w:p w14:paraId="3FC0243F" w14:textId="77777777" w:rsidR="00831C02" w:rsidRPr="002C4E3B" w:rsidRDefault="00831C02" w:rsidP="004A60EB">
      <w:pPr>
        <w:pStyle w:val="Odstavecseseznamem"/>
        <w:numPr>
          <w:ilvl w:val="0"/>
          <w:numId w:val="37"/>
        </w:numPr>
        <w:spacing w:after="0" w:line="252" w:lineRule="auto"/>
        <w:jc w:val="both"/>
        <w:rPr>
          <w:rFonts w:eastAsia="Calibri" w:cstheme="minorHAnsi"/>
          <w:b/>
          <w:i/>
          <w:color w:val="4472C4" w:themeColor="accent5"/>
          <w:sz w:val="24"/>
          <w:szCs w:val="24"/>
        </w:rPr>
      </w:pPr>
      <w:r w:rsidRPr="002C4E3B">
        <w:rPr>
          <w:rFonts w:eastAsia="Calibri" w:cstheme="minorHAnsi"/>
          <w:b/>
          <w:i/>
          <w:color w:val="4472C4" w:themeColor="accent5"/>
          <w:sz w:val="24"/>
          <w:szCs w:val="24"/>
        </w:rPr>
        <w:t xml:space="preserve">Příjmy SFDI z pokut </w:t>
      </w:r>
      <w:r w:rsidR="00A071E8" w:rsidRPr="002C4E3B">
        <w:rPr>
          <w:rFonts w:eastAsia="Calibri" w:cstheme="minorHAnsi"/>
          <w:b/>
          <w:i/>
          <w:color w:val="4472C4" w:themeColor="accent5"/>
          <w:sz w:val="24"/>
          <w:szCs w:val="24"/>
        </w:rPr>
        <w:t xml:space="preserve">z vysokorychlostního vážení jsou </w:t>
      </w:r>
      <w:r w:rsidR="00567B14">
        <w:rPr>
          <w:rFonts w:eastAsia="Calibri" w:cstheme="minorHAnsi"/>
          <w:b/>
          <w:i/>
          <w:color w:val="4472C4" w:themeColor="accent5"/>
          <w:sz w:val="24"/>
          <w:szCs w:val="24"/>
        </w:rPr>
        <w:t>nízké</w:t>
      </w:r>
      <w:r w:rsidR="00CE104C">
        <w:rPr>
          <w:rFonts w:eastAsia="Calibri" w:cstheme="minorHAnsi"/>
          <w:b/>
          <w:i/>
          <w:color w:val="4472C4" w:themeColor="accent5"/>
          <w:sz w:val="24"/>
          <w:szCs w:val="24"/>
        </w:rPr>
        <w:t>.</w:t>
      </w:r>
    </w:p>
    <w:p w14:paraId="493B6C83" w14:textId="77777777" w:rsidR="00025B32" w:rsidRDefault="00025B32" w:rsidP="002C4E3B">
      <w:pPr>
        <w:spacing w:after="0" w:line="252" w:lineRule="auto"/>
        <w:contextualSpacing/>
        <w:rPr>
          <w:rFonts w:eastAsia="Calibri" w:cstheme="minorHAnsi"/>
          <w:sz w:val="24"/>
          <w:szCs w:val="24"/>
        </w:rPr>
      </w:pPr>
    </w:p>
    <w:p w14:paraId="07BEBF73" w14:textId="3D494B4D" w:rsidR="00E80F45" w:rsidRPr="00473B51" w:rsidRDefault="00FF1C2D" w:rsidP="00E80F45">
      <w:pPr>
        <w:spacing w:after="0" w:line="252" w:lineRule="auto"/>
        <w:contextualSpacing/>
        <w:jc w:val="both"/>
        <w:rPr>
          <w:rFonts w:eastAsia="Calibri" w:cstheme="minorHAnsi"/>
          <w:sz w:val="24"/>
          <w:szCs w:val="24"/>
        </w:rPr>
      </w:pPr>
      <w:r>
        <w:rPr>
          <w:rFonts w:cstheme="minorHAnsi"/>
          <w:sz w:val="24"/>
          <w:szCs w:val="24"/>
        </w:rPr>
        <w:t>4.</w:t>
      </w:r>
      <w:r w:rsidR="00CE41BF">
        <w:rPr>
          <w:rFonts w:cstheme="minorHAnsi"/>
          <w:sz w:val="24"/>
          <w:szCs w:val="24"/>
        </w:rPr>
        <w:t>44</w:t>
      </w:r>
      <w:r w:rsidR="00310EB2">
        <w:rPr>
          <w:rFonts w:cstheme="minorHAnsi"/>
          <w:sz w:val="24"/>
          <w:szCs w:val="24"/>
        </w:rPr>
        <w:t xml:space="preserve"> </w:t>
      </w:r>
      <w:r w:rsidR="001E2CC2">
        <w:rPr>
          <w:rFonts w:cstheme="minorHAnsi"/>
          <w:sz w:val="24"/>
          <w:szCs w:val="24"/>
        </w:rPr>
        <w:t xml:space="preserve">NKÚ u kontrolované osoby SFDI prověřoval </w:t>
      </w:r>
      <w:r w:rsidR="00B86F54" w:rsidRPr="00B86F54">
        <w:rPr>
          <w:rFonts w:cstheme="minorHAnsi"/>
          <w:sz w:val="24"/>
          <w:szCs w:val="24"/>
        </w:rPr>
        <w:t>zajištění</w:t>
      </w:r>
      <w:r w:rsidR="00B86F54">
        <w:rPr>
          <w:rFonts w:cstheme="minorHAnsi"/>
          <w:sz w:val="24"/>
          <w:szCs w:val="24"/>
        </w:rPr>
        <w:t xml:space="preserve"> </w:t>
      </w:r>
      <w:r w:rsidR="001E2CC2">
        <w:rPr>
          <w:rFonts w:cstheme="minorHAnsi"/>
          <w:sz w:val="24"/>
          <w:szCs w:val="24"/>
        </w:rPr>
        <w:t>financování nákladů ŘSD vynakládaných na pořízení a provoz kontrolního vážení</w:t>
      </w:r>
      <w:r w:rsidR="001E2CC2" w:rsidRPr="001E2CC2">
        <w:rPr>
          <w:rFonts w:cstheme="minorHAnsi"/>
          <w:sz w:val="24"/>
          <w:szCs w:val="24"/>
        </w:rPr>
        <w:t xml:space="preserve">. </w:t>
      </w:r>
      <w:r w:rsidR="00C1024C" w:rsidRPr="001E2CC2">
        <w:rPr>
          <w:rFonts w:cstheme="minorHAnsi"/>
          <w:sz w:val="24"/>
          <w:szCs w:val="24"/>
        </w:rPr>
        <w:t>Podíl na příjmech z pokut uložených v</w:t>
      </w:r>
      <w:r w:rsidR="00310EB2" w:rsidRPr="001E2CC2">
        <w:rPr>
          <w:rFonts w:cstheme="minorHAnsi"/>
          <w:sz w:val="24"/>
          <w:szCs w:val="24"/>
        </w:rPr>
        <w:t> </w:t>
      </w:r>
      <w:r w:rsidR="00C1024C" w:rsidRPr="001E2CC2">
        <w:rPr>
          <w:rFonts w:cstheme="minorHAnsi"/>
          <w:sz w:val="24"/>
          <w:szCs w:val="24"/>
        </w:rPr>
        <w:t>souvislosti</w:t>
      </w:r>
      <w:r w:rsidR="00310EB2" w:rsidRPr="001E2CC2">
        <w:rPr>
          <w:rFonts w:cstheme="minorHAnsi"/>
          <w:sz w:val="24"/>
          <w:szCs w:val="24"/>
        </w:rPr>
        <w:t xml:space="preserve"> </w:t>
      </w:r>
      <w:r w:rsidR="00C1024C" w:rsidRPr="001E2CC2">
        <w:rPr>
          <w:rFonts w:cstheme="minorHAnsi"/>
          <w:sz w:val="24"/>
          <w:szCs w:val="24"/>
        </w:rPr>
        <w:t>s kontrolním vážením představuje pro SFDI</w:t>
      </w:r>
      <w:r w:rsidR="00C1024C">
        <w:rPr>
          <w:rFonts w:cstheme="minorHAnsi"/>
          <w:sz w:val="24"/>
          <w:szCs w:val="24"/>
        </w:rPr>
        <w:t xml:space="preserve"> jeden ze zdrojů, z nichž může financovat nejen </w:t>
      </w:r>
      <w:r w:rsidR="00C1024C" w:rsidRPr="00EC35CB">
        <w:rPr>
          <w:rFonts w:cstheme="minorHAnsi"/>
          <w:sz w:val="24"/>
          <w:szCs w:val="24"/>
        </w:rPr>
        <w:t>pořízení a provoz</w:t>
      </w:r>
      <w:r w:rsidR="00C1024C">
        <w:rPr>
          <w:rFonts w:cstheme="minorHAnsi"/>
          <w:sz w:val="24"/>
          <w:szCs w:val="24"/>
        </w:rPr>
        <w:t xml:space="preserve"> zařízení pro</w:t>
      </w:r>
      <w:r w:rsidR="00C1024C" w:rsidRPr="00EC35CB">
        <w:rPr>
          <w:rFonts w:cstheme="minorHAnsi"/>
          <w:sz w:val="24"/>
          <w:szCs w:val="24"/>
        </w:rPr>
        <w:t xml:space="preserve"> VKV</w:t>
      </w:r>
      <w:r w:rsidR="00C1024C">
        <w:rPr>
          <w:rFonts w:cstheme="minorHAnsi"/>
          <w:sz w:val="24"/>
          <w:szCs w:val="24"/>
        </w:rPr>
        <w:t>, ale mj. i opravy škod vzniklých na dopravní infrastruktuře v důsledku jízd přetížených vozidel.</w:t>
      </w:r>
      <w:r w:rsidR="00C1024C" w:rsidRPr="00473B51">
        <w:rPr>
          <w:rFonts w:eastAsia="Calibri" w:cstheme="minorHAnsi"/>
          <w:sz w:val="24"/>
          <w:szCs w:val="24"/>
        </w:rPr>
        <w:t xml:space="preserve"> </w:t>
      </w:r>
      <w:r w:rsidR="00E80F45">
        <w:rPr>
          <w:rFonts w:cstheme="minorHAnsi"/>
          <w:sz w:val="24"/>
          <w:szCs w:val="24"/>
        </w:rPr>
        <w:t>NKÚ zjišťoval,</w:t>
      </w:r>
      <w:r w:rsidR="00E80F45" w:rsidRPr="00A77127">
        <w:rPr>
          <w:rFonts w:cstheme="minorHAnsi"/>
          <w:sz w:val="24"/>
          <w:szCs w:val="24"/>
        </w:rPr>
        <w:t xml:space="preserve"> zda příjmy SFDI </w:t>
      </w:r>
      <w:r w:rsidR="00E80F45" w:rsidRPr="002C4E3B">
        <w:rPr>
          <w:rFonts w:cstheme="minorHAnsi"/>
          <w:sz w:val="24"/>
          <w:szCs w:val="24"/>
        </w:rPr>
        <w:t xml:space="preserve">z pokut uložených </w:t>
      </w:r>
      <w:r w:rsidR="00A63514">
        <w:rPr>
          <w:rFonts w:cstheme="minorHAnsi"/>
          <w:sz w:val="24"/>
          <w:szCs w:val="24"/>
        </w:rPr>
        <w:t>v</w:t>
      </w:r>
      <w:r w:rsidR="00304F81">
        <w:rPr>
          <w:rFonts w:cstheme="minorHAnsi"/>
          <w:sz w:val="24"/>
          <w:szCs w:val="24"/>
        </w:rPr>
        <w:t xml:space="preserve"> </w:t>
      </w:r>
      <w:r w:rsidR="00A63514">
        <w:rPr>
          <w:rFonts w:cstheme="minorHAnsi"/>
          <w:sz w:val="24"/>
          <w:szCs w:val="24"/>
        </w:rPr>
        <w:t>souvislosti s</w:t>
      </w:r>
      <w:r w:rsidR="00E80F45" w:rsidRPr="002C4E3B">
        <w:rPr>
          <w:rFonts w:cstheme="minorHAnsi"/>
          <w:sz w:val="24"/>
          <w:szCs w:val="24"/>
        </w:rPr>
        <w:t xml:space="preserve"> kontrolním vážení</w:t>
      </w:r>
      <w:r w:rsidR="00A63514">
        <w:rPr>
          <w:rFonts w:cstheme="minorHAnsi"/>
          <w:sz w:val="24"/>
          <w:szCs w:val="24"/>
        </w:rPr>
        <w:t>m</w:t>
      </w:r>
      <w:r w:rsidR="00E80F45" w:rsidRPr="002C4E3B">
        <w:rPr>
          <w:rFonts w:cstheme="minorHAnsi"/>
          <w:sz w:val="24"/>
          <w:szCs w:val="24"/>
        </w:rPr>
        <w:t xml:space="preserve"> </w:t>
      </w:r>
      <w:r w:rsidR="00E80F45">
        <w:rPr>
          <w:rFonts w:cstheme="minorHAnsi"/>
          <w:sz w:val="24"/>
          <w:szCs w:val="24"/>
        </w:rPr>
        <w:t xml:space="preserve">nejsou </w:t>
      </w:r>
      <w:r w:rsidR="00E80F45" w:rsidRPr="00A77127">
        <w:rPr>
          <w:rFonts w:cstheme="minorHAnsi"/>
          <w:sz w:val="24"/>
          <w:szCs w:val="24"/>
        </w:rPr>
        <w:t>snižovány z</w:t>
      </w:r>
      <w:r w:rsidR="00304F81">
        <w:rPr>
          <w:rFonts w:cstheme="minorHAnsi"/>
          <w:sz w:val="24"/>
          <w:szCs w:val="24"/>
        </w:rPr>
        <w:t xml:space="preserve"> </w:t>
      </w:r>
      <w:r w:rsidR="00E80F45" w:rsidRPr="00A77127">
        <w:rPr>
          <w:rFonts w:cstheme="minorHAnsi"/>
          <w:sz w:val="24"/>
          <w:szCs w:val="24"/>
        </w:rPr>
        <w:t xml:space="preserve">důvodu nefunkčnosti systému kontrolního vážení. </w:t>
      </w:r>
      <w:r w:rsidR="00E80F45">
        <w:rPr>
          <w:rFonts w:eastAsia="Calibri" w:cstheme="minorHAnsi"/>
          <w:sz w:val="24"/>
          <w:szCs w:val="24"/>
        </w:rPr>
        <w:t xml:space="preserve">Na základě analýzy těchto </w:t>
      </w:r>
      <w:r w:rsidR="00E80F45">
        <w:rPr>
          <w:rFonts w:cstheme="minorHAnsi"/>
          <w:sz w:val="24"/>
          <w:szCs w:val="24"/>
        </w:rPr>
        <w:t xml:space="preserve">příjmů NKÚ vyhodnocoval, nakolik systém kontrolního vážení plní svou represivní funkci, </w:t>
      </w:r>
      <w:r w:rsidR="005B3F4E">
        <w:rPr>
          <w:rFonts w:cstheme="minorHAnsi"/>
          <w:sz w:val="24"/>
          <w:szCs w:val="24"/>
        </w:rPr>
        <w:t>resp. zda</w:t>
      </w:r>
      <w:r w:rsidR="00E80F45">
        <w:rPr>
          <w:rFonts w:cstheme="minorHAnsi"/>
          <w:sz w:val="24"/>
          <w:szCs w:val="24"/>
        </w:rPr>
        <w:t xml:space="preserve"> zajišťuje účinný postih vážních deliktů. </w:t>
      </w:r>
    </w:p>
    <w:p w14:paraId="3BC35ACC" w14:textId="77777777" w:rsidR="00E80F45" w:rsidRDefault="00E80F45" w:rsidP="00E80F45">
      <w:pPr>
        <w:spacing w:after="0" w:line="252" w:lineRule="auto"/>
        <w:contextualSpacing/>
        <w:jc w:val="both"/>
        <w:rPr>
          <w:rFonts w:cstheme="minorHAnsi"/>
          <w:sz w:val="24"/>
          <w:szCs w:val="24"/>
        </w:rPr>
      </w:pPr>
    </w:p>
    <w:p w14:paraId="507F0A8B" w14:textId="462C876C" w:rsidR="00B73A0A" w:rsidRDefault="00FF1C2D" w:rsidP="00B73A0A">
      <w:pPr>
        <w:spacing w:after="0" w:line="252" w:lineRule="auto"/>
        <w:contextualSpacing/>
        <w:jc w:val="both"/>
        <w:rPr>
          <w:rFonts w:eastAsia="Calibri" w:cstheme="minorHAnsi"/>
          <w:sz w:val="24"/>
          <w:szCs w:val="24"/>
        </w:rPr>
      </w:pPr>
      <w:r>
        <w:rPr>
          <w:rFonts w:cstheme="minorHAnsi"/>
          <w:sz w:val="24"/>
          <w:szCs w:val="24"/>
        </w:rPr>
        <w:t>4.</w:t>
      </w:r>
      <w:r w:rsidR="00CE41BF">
        <w:rPr>
          <w:rFonts w:cstheme="minorHAnsi"/>
          <w:sz w:val="24"/>
          <w:szCs w:val="24"/>
        </w:rPr>
        <w:t xml:space="preserve">45 </w:t>
      </w:r>
      <w:r w:rsidR="00E80F45">
        <w:rPr>
          <w:rFonts w:cstheme="minorHAnsi"/>
          <w:sz w:val="24"/>
          <w:szCs w:val="24"/>
        </w:rPr>
        <w:t xml:space="preserve">NKÚ kontrolou zjistil, že objem ani podmínky </w:t>
      </w:r>
      <w:r w:rsidR="008A3539">
        <w:rPr>
          <w:rFonts w:cstheme="minorHAnsi"/>
          <w:sz w:val="24"/>
          <w:szCs w:val="24"/>
        </w:rPr>
        <w:t>poskytování peněžních prostředků</w:t>
      </w:r>
      <w:r w:rsidR="008A3539" w:rsidRPr="00A77127">
        <w:rPr>
          <w:rFonts w:cstheme="minorHAnsi"/>
          <w:sz w:val="24"/>
          <w:szCs w:val="24"/>
        </w:rPr>
        <w:t xml:space="preserve"> </w:t>
      </w:r>
      <w:r w:rsidR="00621FE7">
        <w:rPr>
          <w:rFonts w:cstheme="minorHAnsi"/>
          <w:sz w:val="24"/>
          <w:szCs w:val="24"/>
        </w:rPr>
        <w:t>z rozpočtu SFDI nevytvářel</w:t>
      </w:r>
      <w:r w:rsidR="00E80F45">
        <w:rPr>
          <w:rFonts w:cstheme="minorHAnsi"/>
          <w:sz w:val="24"/>
          <w:szCs w:val="24"/>
        </w:rPr>
        <w:t>y</w:t>
      </w:r>
      <w:r w:rsidR="00621FE7">
        <w:rPr>
          <w:rFonts w:cstheme="minorHAnsi"/>
          <w:sz w:val="24"/>
          <w:szCs w:val="24"/>
        </w:rPr>
        <w:t xml:space="preserve"> překážky pro vybudování a </w:t>
      </w:r>
      <w:r w:rsidR="00E80F45">
        <w:rPr>
          <w:rFonts w:cstheme="minorHAnsi"/>
          <w:sz w:val="24"/>
          <w:szCs w:val="24"/>
        </w:rPr>
        <w:t>provoz systému kontrolního vážení</w:t>
      </w:r>
      <w:r w:rsidR="008A3539">
        <w:rPr>
          <w:rFonts w:cstheme="minorHAnsi"/>
          <w:sz w:val="24"/>
          <w:szCs w:val="24"/>
        </w:rPr>
        <w:t xml:space="preserve">. </w:t>
      </w:r>
      <w:r w:rsidR="003B3E76">
        <w:rPr>
          <w:rFonts w:cstheme="minorHAnsi"/>
          <w:sz w:val="24"/>
          <w:szCs w:val="24"/>
        </w:rPr>
        <w:t>Financování v</w:t>
      </w:r>
      <w:r w:rsidR="00621FE7">
        <w:rPr>
          <w:rFonts w:cstheme="minorHAnsi"/>
          <w:sz w:val="24"/>
          <w:szCs w:val="24"/>
        </w:rPr>
        <w:t xml:space="preserve"> rozsahu potřebném pro plnění úkolů, </w:t>
      </w:r>
      <w:r w:rsidR="00B73A0A">
        <w:rPr>
          <w:rFonts w:eastAsia="Calibri" w:cstheme="minorHAnsi"/>
          <w:sz w:val="24"/>
          <w:szCs w:val="24"/>
        </w:rPr>
        <w:t>k nimž byl tento systém určen</w:t>
      </w:r>
      <w:r w:rsidR="008A3539">
        <w:rPr>
          <w:rFonts w:eastAsia="Calibri" w:cstheme="minorHAnsi"/>
          <w:sz w:val="24"/>
          <w:szCs w:val="24"/>
        </w:rPr>
        <w:t>, bylo zajištěno a nebylo limitujícím faktorem pro jeho zavedení</w:t>
      </w:r>
      <w:r w:rsidR="00B73A0A">
        <w:rPr>
          <w:rFonts w:eastAsia="Calibri" w:cstheme="minorHAnsi"/>
          <w:sz w:val="24"/>
          <w:szCs w:val="24"/>
        </w:rPr>
        <w:t>.</w:t>
      </w:r>
    </w:p>
    <w:p w14:paraId="34C44672" w14:textId="77777777" w:rsidR="009E362F" w:rsidRDefault="009E362F" w:rsidP="00757200">
      <w:pPr>
        <w:spacing w:after="0" w:line="252" w:lineRule="auto"/>
        <w:contextualSpacing/>
        <w:jc w:val="both"/>
        <w:rPr>
          <w:rFonts w:eastAsia="Calibri" w:cstheme="minorHAnsi"/>
          <w:sz w:val="24"/>
          <w:szCs w:val="24"/>
        </w:rPr>
      </w:pPr>
    </w:p>
    <w:p w14:paraId="13AEDAD2" w14:textId="42AA6B77" w:rsidR="005A6E96" w:rsidRDefault="00FF1C2D" w:rsidP="005A6E96">
      <w:pPr>
        <w:spacing w:after="0" w:line="252" w:lineRule="auto"/>
        <w:contextualSpacing/>
        <w:jc w:val="both"/>
        <w:rPr>
          <w:rFonts w:cstheme="minorHAnsi"/>
          <w:sz w:val="24"/>
          <w:szCs w:val="24"/>
        </w:rPr>
      </w:pPr>
      <w:r>
        <w:rPr>
          <w:rFonts w:eastAsia="Calibri" w:cstheme="minorHAnsi"/>
          <w:sz w:val="24"/>
          <w:szCs w:val="24"/>
        </w:rPr>
        <w:t>4.</w:t>
      </w:r>
      <w:r w:rsidR="00CE41BF">
        <w:rPr>
          <w:rFonts w:eastAsia="Calibri" w:cstheme="minorHAnsi"/>
          <w:sz w:val="24"/>
          <w:szCs w:val="24"/>
        </w:rPr>
        <w:t xml:space="preserve">46 </w:t>
      </w:r>
      <w:r w:rsidR="00C456B8">
        <w:rPr>
          <w:rFonts w:eastAsia="Calibri" w:cstheme="minorHAnsi"/>
          <w:sz w:val="24"/>
          <w:szCs w:val="24"/>
        </w:rPr>
        <w:t xml:space="preserve">SFDI v období od ledna 2020 do září 2024 obdržel podíl na pokutách </w:t>
      </w:r>
      <w:r w:rsidR="00C456B8" w:rsidRPr="002C4E3B">
        <w:rPr>
          <w:rFonts w:cstheme="minorHAnsi"/>
          <w:sz w:val="24"/>
          <w:szCs w:val="24"/>
        </w:rPr>
        <w:t>uložených za přestupky zjištěné při kontrolním vážení</w:t>
      </w:r>
      <w:r w:rsidR="00C456B8">
        <w:rPr>
          <w:rFonts w:cstheme="minorHAnsi"/>
          <w:sz w:val="24"/>
          <w:szCs w:val="24"/>
        </w:rPr>
        <w:t xml:space="preserve"> v celkové výši 93,</w:t>
      </w:r>
      <w:r w:rsidR="00EF70E9">
        <w:rPr>
          <w:rFonts w:cstheme="minorHAnsi"/>
          <w:sz w:val="24"/>
          <w:szCs w:val="24"/>
        </w:rPr>
        <w:t xml:space="preserve">50 mil. Kč, </w:t>
      </w:r>
      <w:r w:rsidR="00EF70E9" w:rsidRPr="002C4E3B">
        <w:rPr>
          <w:rFonts w:cstheme="minorHAnsi"/>
          <w:sz w:val="24"/>
          <w:szCs w:val="24"/>
        </w:rPr>
        <w:t xml:space="preserve">z toho </w:t>
      </w:r>
      <w:r w:rsidR="00EF70E9">
        <w:rPr>
          <w:rFonts w:cstheme="minorHAnsi"/>
          <w:sz w:val="24"/>
          <w:szCs w:val="24"/>
        </w:rPr>
        <w:t xml:space="preserve">na </w:t>
      </w:r>
      <w:r w:rsidR="00EF70E9" w:rsidRPr="002C4E3B">
        <w:rPr>
          <w:rFonts w:cstheme="minorHAnsi"/>
          <w:sz w:val="24"/>
          <w:szCs w:val="24"/>
        </w:rPr>
        <w:t xml:space="preserve">pokuty z VKV </w:t>
      </w:r>
      <w:r w:rsidR="00EF70E9">
        <w:rPr>
          <w:rFonts w:cstheme="minorHAnsi"/>
          <w:sz w:val="24"/>
          <w:szCs w:val="24"/>
        </w:rPr>
        <w:t>připadlo 21</w:t>
      </w:r>
      <w:r w:rsidR="00EF70E9" w:rsidRPr="002C4E3B">
        <w:rPr>
          <w:rFonts w:cstheme="minorHAnsi"/>
          <w:sz w:val="24"/>
          <w:szCs w:val="24"/>
        </w:rPr>
        <w:t>,</w:t>
      </w:r>
      <w:r w:rsidR="00EF70E9">
        <w:rPr>
          <w:rFonts w:cstheme="minorHAnsi"/>
          <w:sz w:val="24"/>
          <w:szCs w:val="24"/>
        </w:rPr>
        <w:t>13</w:t>
      </w:r>
      <w:r w:rsidR="00EF70E9" w:rsidRPr="002C4E3B">
        <w:rPr>
          <w:rFonts w:cstheme="minorHAnsi"/>
          <w:sz w:val="24"/>
          <w:szCs w:val="24"/>
        </w:rPr>
        <w:t xml:space="preserve"> mil. Kč.</w:t>
      </w:r>
      <w:r w:rsidR="00EF70E9">
        <w:rPr>
          <w:rFonts w:cstheme="minorHAnsi"/>
          <w:sz w:val="24"/>
          <w:szCs w:val="24"/>
        </w:rPr>
        <w:t xml:space="preserve"> </w:t>
      </w:r>
      <w:r w:rsidR="00A26395" w:rsidRPr="00A26395">
        <w:rPr>
          <w:rFonts w:cstheme="minorHAnsi"/>
          <w:sz w:val="24"/>
          <w:szCs w:val="24"/>
        </w:rPr>
        <w:t>Přestože bylo metodou VKV zjištěno výrazně více vážních deliktů než metodou NKV, podíl příjmů Státního fondu dopravní infrastruktury z</w:t>
      </w:r>
      <w:r w:rsidR="00304F81">
        <w:rPr>
          <w:rFonts w:cstheme="minorHAnsi"/>
          <w:sz w:val="24"/>
          <w:szCs w:val="24"/>
        </w:rPr>
        <w:t xml:space="preserve"> </w:t>
      </w:r>
      <w:r w:rsidR="00A26395" w:rsidRPr="00A26395">
        <w:rPr>
          <w:rFonts w:cstheme="minorHAnsi"/>
          <w:sz w:val="24"/>
          <w:szCs w:val="24"/>
        </w:rPr>
        <w:t>vysokorychlostního kontrolního vážení byl velmi nízký.</w:t>
      </w:r>
      <w:r w:rsidR="00A26395">
        <w:rPr>
          <w:rFonts w:cstheme="minorHAnsi"/>
          <w:sz w:val="24"/>
          <w:szCs w:val="24"/>
        </w:rPr>
        <w:t xml:space="preserve"> </w:t>
      </w:r>
    </w:p>
    <w:p w14:paraId="3AA1F090" w14:textId="1EA91D57" w:rsidR="005A6E96" w:rsidRDefault="005A6E96" w:rsidP="005A6E96">
      <w:pPr>
        <w:spacing w:after="0" w:line="252" w:lineRule="auto"/>
        <w:contextualSpacing/>
        <w:jc w:val="both"/>
        <w:rPr>
          <w:rFonts w:ascii="Calibri" w:eastAsia="Calibri" w:hAnsi="Calibri" w:cs="Calibri"/>
          <w:b/>
          <w:sz w:val="24"/>
          <w:szCs w:val="24"/>
        </w:rPr>
      </w:pPr>
    </w:p>
    <w:p w14:paraId="484EA284" w14:textId="0669B292" w:rsidR="00854EDF" w:rsidRPr="005A6E96" w:rsidRDefault="00854EDF" w:rsidP="001757F1">
      <w:pPr>
        <w:keepNext/>
        <w:keepLines/>
        <w:tabs>
          <w:tab w:val="right" w:pos="9071"/>
        </w:tabs>
        <w:spacing w:after="0" w:line="252" w:lineRule="auto"/>
        <w:contextualSpacing/>
        <w:jc w:val="both"/>
        <w:rPr>
          <w:rFonts w:cstheme="minorHAnsi"/>
          <w:sz w:val="24"/>
          <w:szCs w:val="24"/>
        </w:rPr>
      </w:pPr>
      <w:r w:rsidRPr="00A508F5">
        <w:rPr>
          <w:rFonts w:ascii="Calibri" w:eastAsia="Calibri" w:hAnsi="Calibri" w:cs="Calibri"/>
          <w:b/>
          <w:sz w:val="24"/>
          <w:szCs w:val="24"/>
        </w:rPr>
        <w:t xml:space="preserve">Tabulka č. </w:t>
      </w:r>
      <w:r w:rsidR="002B00AC">
        <w:rPr>
          <w:rFonts w:ascii="Calibri" w:eastAsia="Calibri" w:hAnsi="Calibri" w:cs="Calibri"/>
          <w:b/>
          <w:sz w:val="24"/>
          <w:szCs w:val="24"/>
        </w:rPr>
        <w:t>6</w:t>
      </w:r>
      <w:r w:rsidRPr="00A508F5">
        <w:rPr>
          <w:rFonts w:ascii="Calibri" w:eastAsia="Calibri" w:hAnsi="Calibri" w:cs="Calibri"/>
          <w:b/>
          <w:sz w:val="24"/>
          <w:szCs w:val="24"/>
        </w:rPr>
        <w:t>:</w:t>
      </w:r>
      <w:r w:rsidR="00763EAE">
        <w:rPr>
          <w:rFonts w:ascii="Calibri" w:eastAsia="Calibri" w:hAnsi="Calibri" w:cs="Calibri"/>
          <w:b/>
          <w:sz w:val="24"/>
          <w:szCs w:val="24"/>
        </w:rPr>
        <w:t xml:space="preserve"> </w:t>
      </w:r>
      <w:r w:rsidRPr="00A508F5">
        <w:rPr>
          <w:rFonts w:ascii="Calibri" w:eastAsia="Calibri" w:hAnsi="Calibri" w:cs="Calibri"/>
          <w:b/>
          <w:sz w:val="24"/>
          <w:szCs w:val="24"/>
        </w:rPr>
        <w:t>Příjmy</w:t>
      </w:r>
      <w:r w:rsidRPr="00757200">
        <w:rPr>
          <w:rFonts w:ascii="Calibri" w:eastAsia="Calibri" w:hAnsi="Calibri" w:cs="Calibri"/>
          <w:b/>
          <w:sz w:val="24"/>
          <w:szCs w:val="24"/>
        </w:rPr>
        <w:t xml:space="preserve"> SFDI z pokut z kontrolního vážení </w:t>
      </w:r>
      <w:r w:rsidR="00817C97">
        <w:rPr>
          <w:rFonts w:ascii="Calibri" w:eastAsia="Calibri" w:hAnsi="Calibri" w:cs="Calibri"/>
          <w:b/>
          <w:sz w:val="24"/>
          <w:szCs w:val="24"/>
        </w:rPr>
        <w:tab/>
      </w:r>
      <w:r w:rsidRPr="00757200">
        <w:rPr>
          <w:rFonts w:ascii="Calibri" w:eastAsia="Calibri" w:hAnsi="Calibri" w:cs="Calibri"/>
          <w:b/>
          <w:sz w:val="24"/>
          <w:szCs w:val="24"/>
        </w:rPr>
        <w:t xml:space="preserve">(v </w:t>
      </w:r>
      <w:r w:rsidR="00F67B90">
        <w:rPr>
          <w:rFonts w:ascii="Calibri" w:eastAsia="Calibri" w:hAnsi="Calibri" w:cs="Calibri"/>
          <w:b/>
          <w:sz w:val="24"/>
          <w:szCs w:val="24"/>
        </w:rPr>
        <w:t xml:space="preserve">tis. </w:t>
      </w:r>
      <w:r w:rsidRPr="00757200">
        <w:rPr>
          <w:rFonts w:ascii="Calibri" w:eastAsia="Calibri" w:hAnsi="Calibri" w:cs="Calibri"/>
          <w:b/>
          <w:sz w:val="24"/>
          <w:szCs w:val="24"/>
        </w:rPr>
        <w:t>Kč)</w:t>
      </w:r>
    </w:p>
    <w:p w14:paraId="0BBD7234" w14:textId="77777777" w:rsidR="00A83EFC" w:rsidRPr="00A83EFC" w:rsidRDefault="00A83EFC" w:rsidP="00757200">
      <w:pPr>
        <w:keepNext/>
        <w:spacing w:after="0" w:line="252" w:lineRule="auto"/>
        <w:contextualSpacing/>
        <w:jc w:val="both"/>
        <w:rPr>
          <w:rFonts w:ascii="Calibri" w:eastAsia="Calibri" w:hAnsi="Calibri" w:cs="Calibri"/>
          <w:b/>
          <w:sz w:val="6"/>
          <w:szCs w:val="6"/>
        </w:rPr>
      </w:pPr>
    </w:p>
    <w:tbl>
      <w:tblPr>
        <w:tblStyle w:val="Mkatabulky"/>
        <w:tblW w:w="9071"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05"/>
        <w:gridCol w:w="3061"/>
        <w:gridCol w:w="3005"/>
      </w:tblGrid>
      <w:tr w:rsidR="00854EDF" w:rsidRPr="00757200" w14:paraId="534C4B80" w14:textId="77777777" w:rsidTr="0072686A">
        <w:trPr>
          <w:trHeight w:val="680"/>
        </w:trPr>
        <w:tc>
          <w:tcPr>
            <w:tcW w:w="3005" w:type="dxa"/>
            <w:tcBorders>
              <w:top w:val="single" w:sz="8" w:space="0" w:color="auto"/>
              <w:bottom w:val="single" w:sz="8" w:space="0" w:color="auto"/>
            </w:tcBorders>
            <w:shd w:val="clear" w:color="auto" w:fill="E6E6E6"/>
            <w:vAlign w:val="center"/>
          </w:tcPr>
          <w:p w14:paraId="7DD2FCF8" w14:textId="68C27C58" w:rsidR="005C6165" w:rsidRPr="001757F1" w:rsidRDefault="00854EDF" w:rsidP="00526C63">
            <w:pPr>
              <w:spacing w:line="252" w:lineRule="auto"/>
              <w:contextualSpacing/>
              <w:jc w:val="center"/>
              <w:rPr>
                <w:b/>
                <w:sz w:val="20"/>
                <w:szCs w:val="20"/>
              </w:rPr>
            </w:pPr>
            <w:r w:rsidRPr="001757F1">
              <w:rPr>
                <w:b/>
                <w:sz w:val="20"/>
                <w:szCs w:val="20"/>
              </w:rPr>
              <w:t>Rok</w:t>
            </w:r>
          </w:p>
        </w:tc>
        <w:tc>
          <w:tcPr>
            <w:tcW w:w="3061" w:type="dxa"/>
            <w:tcBorders>
              <w:top w:val="single" w:sz="8" w:space="0" w:color="auto"/>
              <w:bottom w:val="single" w:sz="8" w:space="0" w:color="auto"/>
            </w:tcBorders>
            <w:shd w:val="clear" w:color="auto" w:fill="E6E6E6"/>
            <w:vAlign w:val="center"/>
          </w:tcPr>
          <w:p w14:paraId="223FAC42" w14:textId="5E4B25FD" w:rsidR="00854EDF" w:rsidRPr="001757F1" w:rsidRDefault="00854EDF" w:rsidP="00526C63">
            <w:pPr>
              <w:spacing w:line="252" w:lineRule="auto"/>
              <w:contextualSpacing/>
              <w:jc w:val="center"/>
              <w:rPr>
                <w:b/>
                <w:sz w:val="20"/>
                <w:szCs w:val="20"/>
              </w:rPr>
            </w:pPr>
            <w:r w:rsidRPr="001757F1">
              <w:rPr>
                <w:b/>
                <w:sz w:val="20"/>
                <w:szCs w:val="20"/>
              </w:rPr>
              <w:t>Příjmy SFDI z pokut</w:t>
            </w:r>
          </w:p>
          <w:p w14:paraId="7FC024AF" w14:textId="77777777" w:rsidR="00854EDF" w:rsidRPr="001757F1" w:rsidRDefault="00854EDF" w:rsidP="00526C63">
            <w:pPr>
              <w:spacing w:line="252" w:lineRule="auto"/>
              <w:contextualSpacing/>
              <w:jc w:val="center"/>
              <w:rPr>
                <w:b/>
                <w:sz w:val="20"/>
                <w:szCs w:val="20"/>
              </w:rPr>
            </w:pPr>
            <w:r w:rsidRPr="001757F1">
              <w:rPr>
                <w:b/>
                <w:sz w:val="20"/>
                <w:szCs w:val="20"/>
              </w:rPr>
              <w:t>z kontrolního vážení</w:t>
            </w:r>
          </w:p>
        </w:tc>
        <w:tc>
          <w:tcPr>
            <w:tcW w:w="3005" w:type="dxa"/>
            <w:tcBorders>
              <w:top w:val="single" w:sz="8" w:space="0" w:color="auto"/>
              <w:bottom w:val="single" w:sz="8" w:space="0" w:color="auto"/>
            </w:tcBorders>
            <w:shd w:val="clear" w:color="auto" w:fill="E6E6E6"/>
            <w:vAlign w:val="center"/>
          </w:tcPr>
          <w:p w14:paraId="094C3D12" w14:textId="082939EE" w:rsidR="00854EDF" w:rsidRPr="001757F1" w:rsidRDefault="005B3F4E" w:rsidP="001757F1">
            <w:pPr>
              <w:pStyle w:val="Odstavecseseznamem"/>
              <w:spacing w:line="252" w:lineRule="auto"/>
              <w:ind w:right="283"/>
              <w:rPr>
                <w:b/>
                <w:sz w:val="20"/>
                <w:szCs w:val="20"/>
              </w:rPr>
            </w:pPr>
            <w:r>
              <w:rPr>
                <w:rFonts w:cstheme="minorHAnsi"/>
                <w:b/>
                <w:sz w:val="20"/>
                <w:szCs w:val="20"/>
              </w:rPr>
              <w:t xml:space="preserve">– </w:t>
            </w:r>
            <w:r>
              <w:rPr>
                <w:b/>
                <w:sz w:val="20"/>
                <w:szCs w:val="20"/>
              </w:rPr>
              <w:t>z</w:t>
            </w:r>
            <w:r w:rsidR="00854EDF" w:rsidRPr="001757F1">
              <w:rPr>
                <w:b/>
                <w:sz w:val="20"/>
                <w:szCs w:val="20"/>
              </w:rPr>
              <w:t xml:space="preserve"> toho příjmy</w:t>
            </w:r>
          </w:p>
          <w:p w14:paraId="4CCF99CE" w14:textId="1FD644F2" w:rsidR="00854EDF" w:rsidRPr="001757F1" w:rsidRDefault="00854EDF" w:rsidP="001757F1">
            <w:pPr>
              <w:spacing w:line="252" w:lineRule="auto"/>
              <w:ind w:left="867" w:right="697"/>
              <w:contextualSpacing/>
              <w:rPr>
                <w:b/>
                <w:sz w:val="20"/>
                <w:szCs w:val="20"/>
              </w:rPr>
            </w:pPr>
            <w:r w:rsidRPr="001757F1">
              <w:rPr>
                <w:b/>
                <w:sz w:val="20"/>
                <w:szCs w:val="20"/>
              </w:rPr>
              <w:t>z pokut z VKV</w:t>
            </w:r>
          </w:p>
        </w:tc>
      </w:tr>
      <w:tr w:rsidR="00854EDF" w:rsidRPr="00757200" w14:paraId="58C7EE3C" w14:textId="77777777" w:rsidTr="0072686A">
        <w:trPr>
          <w:trHeight w:val="340"/>
        </w:trPr>
        <w:tc>
          <w:tcPr>
            <w:tcW w:w="3005" w:type="dxa"/>
            <w:tcBorders>
              <w:top w:val="single" w:sz="8" w:space="0" w:color="auto"/>
            </w:tcBorders>
            <w:vAlign w:val="center"/>
          </w:tcPr>
          <w:p w14:paraId="30F95B45" w14:textId="77777777" w:rsidR="00854EDF" w:rsidRPr="001757F1" w:rsidRDefault="00854EDF" w:rsidP="001757F1">
            <w:pPr>
              <w:spacing w:line="252" w:lineRule="auto"/>
              <w:ind w:left="1134"/>
              <w:contextualSpacing/>
              <w:rPr>
                <w:sz w:val="20"/>
                <w:szCs w:val="20"/>
              </w:rPr>
            </w:pPr>
            <w:r w:rsidRPr="001757F1">
              <w:rPr>
                <w:sz w:val="20"/>
                <w:szCs w:val="20"/>
              </w:rPr>
              <w:t>2020</w:t>
            </w:r>
          </w:p>
        </w:tc>
        <w:tc>
          <w:tcPr>
            <w:tcW w:w="3061" w:type="dxa"/>
            <w:tcBorders>
              <w:top w:val="single" w:sz="8" w:space="0" w:color="auto"/>
            </w:tcBorders>
            <w:vAlign w:val="center"/>
          </w:tcPr>
          <w:p w14:paraId="692F43E0" w14:textId="77777777" w:rsidR="00854EDF" w:rsidRPr="001757F1" w:rsidRDefault="00854EDF" w:rsidP="00526C63">
            <w:pPr>
              <w:spacing w:line="252" w:lineRule="auto"/>
              <w:contextualSpacing/>
              <w:jc w:val="center"/>
              <w:rPr>
                <w:sz w:val="20"/>
                <w:szCs w:val="20"/>
              </w:rPr>
            </w:pPr>
            <w:r w:rsidRPr="001757F1">
              <w:rPr>
                <w:sz w:val="20"/>
                <w:szCs w:val="20"/>
              </w:rPr>
              <w:t>10</w:t>
            </w:r>
            <w:r w:rsidR="00F67B90" w:rsidRPr="001757F1">
              <w:rPr>
                <w:sz w:val="20"/>
                <w:szCs w:val="20"/>
              </w:rPr>
              <w:t> </w:t>
            </w:r>
            <w:r w:rsidRPr="001757F1">
              <w:rPr>
                <w:sz w:val="20"/>
                <w:szCs w:val="20"/>
              </w:rPr>
              <w:t>958</w:t>
            </w:r>
            <w:r w:rsidR="00F67B90" w:rsidRPr="001757F1">
              <w:rPr>
                <w:sz w:val="20"/>
                <w:szCs w:val="20"/>
              </w:rPr>
              <w:t>,</w:t>
            </w:r>
            <w:r w:rsidRPr="001757F1">
              <w:rPr>
                <w:sz w:val="20"/>
                <w:szCs w:val="20"/>
              </w:rPr>
              <w:t>8</w:t>
            </w:r>
            <w:r w:rsidR="00F67B90" w:rsidRPr="001757F1">
              <w:rPr>
                <w:sz w:val="20"/>
                <w:szCs w:val="20"/>
              </w:rPr>
              <w:t>3</w:t>
            </w:r>
          </w:p>
        </w:tc>
        <w:tc>
          <w:tcPr>
            <w:tcW w:w="3005" w:type="dxa"/>
            <w:tcBorders>
              <w:top w:val="single" w:sz="8" w:space="0" w:color="auto"/>
            </w:tcBorders>
            <w:vAlign w:val="center"/>
          </w:tcPr>
          <w:p w14:paraId="554BD219" w14:textId="4E50FFA0" w:rsidR="00854EDF" w:rsidRPr="001757F1" w:rsidRDefault="006D715F" w:rsidP="001757F1">
            <w:pPr>
              <w:spacing w:line="252" w:lineRule="auto"/>
              <w:ind w:right="1020"/>
              <w:contextualSpacing/>
              <w:jc w:val="right"/>
              <w:rPr>
                <w:sz w:val="20"/>
                <w:szCs w:val="20"/>
              </w:rPr>
            </w:pPr>
            <w:r w:rsidRPr="001757F1">
              <w:rPr>
                <w:sz w:val="20"/>
                <w:szCs w:val="20"/>
              </w:rPr>
              <w:t>0</w:t>
            </w:r>
          </w:p>
        </w:tc>
      </w:tr>
      <w:tr w:rsidR="00854EDF" w:rsidRPr="00757200" w14:paraId="64308E16" w14:textId="77777777" w:rsidTr="0072686A">
        <w:trPr>
          <w:trHeight w:val="340"/>
        </w:trPr>
        <w:tc>
          <w:tcPr>
            <w:tcW w:w="3005" w:type="dxa"/>
            <w:vAlign w:val="center"/>
          </w:tcPr>
          <w:p w14:paraId="090B55E2" w14:textId="77777777" w:rsidR="00854EDF" w:rsidRPr="001757F1" w:rsidRDefault="00854EDF" w:rsidP="001757F1">
            <w:pPr>
              <w:spacing w:line="252" w:lineRule="auto"/>
              <w:ind w:left="1134"/>
              <w:contextualSpacing/>
              <w:rPr>
                <w:sz w:val="20"/>
                <w:szCs w:val="20"/>
              </w:rPr>
            </w:pPr>
            <w:r w:rsidRPr="001757F1">
              <w:rPr>
                <w:sz w:val="20"/>
                <w:szCs w:val="20"/>
              </w:rPr>
              <w:t>2021</w:t>
            </w:r>
          </w:p>
        </w:tc>
        <w:tc>
          <w:tcPr>
            <w:tcW w:w="3061" w:type="dxa"/>
            <w:vAlign w:val="center"/>
          </w:tcPr>
          <w:p w14:paraId="12EA69AA" w14:textId="77777777" w:rsidR="00854EDF" w:rsidRPr="001757F1" w:rsidRDefault="00854EDF" w:rsidP="00526C63">
            <w:pPr>
              <w:spacing w:line="252" w:lineRule="auto"/>
              <w:contextualSpacing/>
              <w:jc w:val="center"/>
              <w:rPr>
                <w:sz w:val="20"/>
                <w:szCs w:val="20"/>
              </w:rPr>
            </w:pPr>
            <w:r w:rsidRPr="001757F1">
              <w:rPr>
                <w:sz w:val="20"/>
                <w:szCs w:val="20"/>
              </w:rPr>
              <w:t>13</w:t>
            </w:r>
            <w:r w:rsidR="00F67B90" w:rsidRPr="001757F1">
              <w:rPr>
                <w:sz w:val="20"/>
                <w:szCs w:val="20"/>
              </w:rPr>
              <w:t> </w:t>
            </w:r>
            <w:r w:rsidRPr="001757F1">
              <w:rPr>
                <w:sz w:val="20"/>
                <w:szCs w:val="20"/>
              </w:rPr>
              <w:t>372</w:t>
            </w:r>
            <w:r w:rsidR="00F67B90" w:rsidRPr="001757F1">
              <w:rPr>
                <w:sz w:val="20"/>
                <w:szCs w:val="20"/>
              </w:rPr>
              <w:t>,</w:t>
            </w:r>
            <w:r w:rsidRPr="001757F1">
              <w:rPr>
                <w:sz w:val="20"/>
                <w:szCs w:val="20"/>
              </w:rPr>
              <w:t>38</w:t>
            </w:r>
          </w:p>
        </w:tc>
        <w:tc>
          <w:tcPr>
            <w:tcW w:w="3005" w:type="dxa"/>
            <w:vAlign w:val="center"/>
          </w:tcPr>
          <w:p w14:paraId="45E458D4" w14:textId="146B6FC6" w:rsidR="00854EDF" w:rsidRPr="001757F1" w:rsidRDefault="006D715F" w:rsidP="001757F1">
            <w:pPr>
              <w:spacing w:line="252" w:lineRule="auto"/>
              <w:ind w:right="1020"/>
              <w:contextualSpacing/>
              <w:jc w:val="right"/>
              <w:rPr>
                <w:sz w:val="20"/>
                <w:szCs w:val="20"/>
              </w:rPr>
            </w:pPr>
            <w:r w:rsidRPr="001757F1">
              <w:rPr>
                <w:sz w:val="20"/>
                <w:szCs w:val="20"/>
              </w:rPr>
              <w:t>162</w:t>
            </w:r>
            <w:r w:rsidR="00F67B90" w:rsidRPr="001757F1">
              <w:rPr>
                <w:sz w:val="20"/>
                <w:szCs w:val="20"/>
              </w:rPr>
              <w:t>,</w:t>
            </w:r>
            <w:r w:rsidRPr="001757F1">
              <w:rPr>
                <w:sz w:val="20"/>
                <w:szCs w:val="20"/>
              </w:rPr>
              <w:t>00</w:t>
            </w:r>
          </w:p>
        </w:tc>
      </w:tr>
      <w:tr w:rsidR="00854EDF" w:rsidRPr="00757200" w14:paraId="420F2652" w14:textId="77777777" w:rsidTr="0072686A">
        <w:trPr>
          <w:trHeight w:val="340"/>
        </w:trPr>
        <w:tc>
          <w:tcPr>
            <w:tcW w:w="3005" w:type="dxa"/>
            <w:vAlign w:val="center"/>
          </w:tcPr>
          <w:p w14:paraId="35C7D05D" w14:textId="77777777" w:rsidR="00854EDF" w:rsidRPr="001757F1" w:rsidRDefault="00854EDF" w:rsidP="001757F1">
            <w:pPr>
              <w:spacing w:line="252" w:lineRule="auto"/>
              <w:ind w:left="1134"/>
              <w:contextualSpacing/>
              <w:rPr>
                <w:sz w:val="20"/>
                <w:szCs w:val="20"/>
              </w:rPr>
            </w:pPr>
            <w:r w:rsidRPr="001757F1">
              <w:rPr>
                <w:sz w:val="20"/>
                <w:szCs w:val="20"/>
              </w:rPr>
              <w:t>2022</w:t>
            </w:r>
          </w:p>
        </w:tc>
        <w:tc>
          <w:tcPr>
            <w:tcW w:w="3061" w:type="dxa"/>
            <w:vAlign w:val="center"/>
          </w:tcPr>
          <w:p w14:paraId="4D91489D" w14:textId="77777777" w:rsidR="00854EDF" w:rsidRPr="001757F1" w:rsidRDefault="00854EDF" w:rsidP="00526C63">
            <w:pPr>
              <w:spacing w:line="252" w:lineRule="auto"/>
              <w:contextualSpacing/>
              <w:jc w:val="center"/>
              <w:rPr>
                <w:sz w:val="20"/>
                <w:szCs w:val="20"/>
              </w:rPr>
            </w:pPr>
            <w:r w:rsidRPr="001757F1">
              <w:rPr>
                <w:sz w:val="20"/>
                <w:szCs w:val="20"/>
              </w:rPr>
              <w:t>18</w:t>
            </w:r>
            <w:r w:rsidR="00F67B90" w:rsidRPr="001757F1">
              <w:rPr>
                <w:sz w:val="20"/>
                <w:szCs w:val="20"/>
              </w:rPr>
              <w:t> </w:t>
            </w:r>
            <w:r w:rsidRPr="001757F1">
              <w:rPr>
                <w:sz w:val="20"/>
                <w:szCs w:val="20"/>
              </w:rPr>
              <w:t>744</w:t>
            </w:r>
            <w:r w:rsidR="00F67B90" w:rsidRPr="001757F1">
              <w:rPr>
                <w:sz w:val="20"/>
                <w:szCs w:val="20"/>
              </w:rPr>
              <w:t>,</w:t>
            </w:r>
            <w:r w:rsidRPr="001757F1">
              <w:rPr>
                <w:sz w:val="20"/>
                <w:szCs w:val="20"/>
              </w:rPr>
              <w:t>62</w:t>
            </w:r>
          </w:p>
        </w:tc>
        <w:tc>
          <w:tcPr>
            <w:tcW w:w="3005" w:type="dxa"/>
            <w:vAlign w:val="center"/>
          </w:tcPr>
          <w:p w14:paraId="599B9E27" w14:textId="78ABBFD1" w:rsidR="00854EDF" w:rsidRPr="001757F1" w:rsidRDefault="006D715F" w:rsidP="001757F1">
            <w:pPr>
              <w:spacing w:line="252" w:lineRule="auto"/>
              <w:ind w:right="1020"/>
              <w:contextualSpacing/>
              <w:jc w:val="right"/>
              <w:rPr>
                <w:sz w:val="20"/>
                <w:szCs w:val="20"/>
              </w:rPr>
            </w:pPr>
            <w:r w:rsidRPr="001757F1">
              <w:rPr>
                <w:sz w:val="20"/>
                <w:szCs w:val="20"/>
              </w:rPr>
              <w:t>2</w:t>
            </w:r>
            <w:r w:rsidR="00F67B90" w:rsidRPr="001757F1">
              <w:rPr>
                <w:sz w:val="20"/>
                <w:szCs w:val="20"/>
              </w:rPr>
              <w:t> </w:t>
            </w:r>
            <w:r w:rsidRPr="001757F1">
              <w:rPr>
                <w:sz w:val="20"/>
                <w:szCs w:val="20"/>
              </w:rPr>
              <w:t>383</w:t>
            </w:r>
            <w:r w:rsidR="00F67B90" w:rsidRPr="001757F1">
              <w:rPr>
                <w:sz w:val="20"/>
                <w:szCs w:val="20"/>
              </w:rPr>
              <w:t>,</w:t>
            </w:r>
            <w:r w:rsidRPr="001757F1">
              <w:rPr>
                <w:sz w:val="20"/>
                <w:szCs w:val="20"/>
              </w:rPr>
              <w:t>80</w:t>
            </w:r>
          </w:p>
        </w:tc>
      </w:tr>
      <w:tr w:rsidR="00854EDF" w:rsidRPr="00757200" w14:paraId="449065CF" w14:textId="77777777" w:rsidTr="0072686A">
        <w:trPr>
          <w:trHeight w:val="340"/>
        </w:trPr>
        <w:tc>
          <w:tcPr>
            <w:tcW w:w="3005" w:type="dxa"/>
            <w:vAlign w:val="center"/>
          </w:tcPr>
          <w:p w14:paraId="5A3DDDB2" w14:textId="77777777" w:rsidR="00854EDF" w:rsidRPr="001757F1" w:rsidRDefault="00854EDF" w:rsidP="001757F1">
            <w:pPr>
              <w:spacing w:line="252" w:lineRule="auto"/>
              <w:ind w:left="1134"/>
              <w:contextualSpacing/>
              <w:rPr>
                <w:sz w:val="20"/>
                <w:szCs w:val="20"/>
              </w:rPr>
            </w:pPr>
            <w:r w:rsidRPr="001757F1">
              <w:rPr>
                <w:sz w:val="20"/>
                <w:szCs w:val="20"/>
              </w:rPr>
              <w:t>2023</w:t>
            </w:r>
          </w:p>
        </w:tc>
        <w:tc>
          <w:tcPr>
            <w:tcW w:w="3061" w:type="dxa"/>
            <w:vAlign w:val="center"/>
          </w:tcPr>
          <w:p w14:paraId="126EE190" w14:textId="77777777" w:rsidR="00854EDF" w:rsidRPr="001757F1" w:rsidRDefault="00854EDF" w:rsidP="00526C63">
            <w:pPr>
              <w:spacing w:line="252" w:lineRule="auto"/>
              <w:contextualSpacing/>
              <w:jc w:val="center"/>
              <w:rPr>
                <w:sz w:val="20"/>
                <w:szCs w:val="20"/>
              </w:rPr>
            </w:pPr>
            <w:r w:rsidRPr="001757F1">
              <w:rPr>
                <w:sz w:val="20"/>
                <w:szCs w:val="20"/>
              </w:rPr>
              <w:t>32</w:t>
            </w:r>
            <w:r w:rsidR="00F67B90" w:rsidRPr="001757F1">
              <w:rPr>
                <w:sz w:val="20"/>
                <w:szCs w:val="20"/>
              </w:rPr>
              <w:t> </w:t>
            </w:r>
            <w:r w:rsidRPr="001757F1">
              <w:rPr>
                <w:sz w:val="20"/>
                <w:szCs w:val="20"/>
              </w:rPr>
              <w:t>014</w:t>
            </w:r>
            <w:r w:rsidR="00F67B90" w:rsidRPr="001757F1">
              <w:rPr>
                <w:sz w:val="20"/>
                <w:szCs w:val="20"/>
              </w:rPr>
              <w:t>,</w:t>
            </w:r>
            <w:r w:rsidRPr="001757F1">
              <w:rPr>
                <w:sz w:val="20"/>
                <w:szCs w:val="20"/>
              </w:rPr>
              <w:t>60</w:t>
            </w:r>
          </w:p>
        </w:tc>
        <w:tc>
          <w:tcPr>
            <w:tcW w:w="3005" w:type="dxa"/>
            <w:vAlign w:val="center"/>
          </w:tcPr>
          <w:p w14:paraId="42D01A5E" w14:textId="77777777" w:rsidR="00854EDF" w:rsidRPr="001757F1" w:rsidRDefault="006D715F" w:rsidP="001757F1">
            <w:pPr>
              <w:spacing w:line="252" w:lineRule="auto"/>
              <w:ind w:right="1020"/>
              <w:contextualSpacing/>
              <w:jc w:val="right"/>
              <w:rPr>
                <w:sz w:val="20"/>
                <w:szCs w:val="20"/>
              </w:rPr>
            </w:pPr>
            <w:r w:rsidRPr="001757F1">
              <w:rPr>
                <w:sz w:val="20"/>
                <w:szCs w:val="20"/>
              </w:rPr>
              <w:t>12</w:t>
            </w:r>
            <w:r w:rsidR="00F67B90" w:rsidRPr="001757F1">
              <w:rPr>
                <w:sz w:val="20"/>
                <w:szCs w:val="20"/>
              </w:rPr>
              <w:t> </w:t>
            </w:r>
            <w:r w:rsidRPr="001757F1">
              <w:rPr>
                <w:sz w:val="20"/>
                <w:szCs w:val="20"/>
              </w:rPr>
              <w:t>496</w:t>
            </w:r>
            <w:r w:rsidR="00F67B90" w:rsidRPr="001757F1">
              <w:rPr>
                <w:sz w:val="20"/>
                <w:szCs w:val="20"/>
              </w:rPr>
              <w:t>,</w:t>
            </w:r>
            <w:r w:rsidRPr="001757F1">
              <w:rPr>
                <w:sz w:val="20"/>
                <w:szCs w:val="20"/>
              </w:rPr>
              <w:t>20</w:t>
            </w:r>
          </w:p>
        </w:tc>
      </w:tr>
      <w:tr w:rsidR="00854EDF" w:rsidRPr="00757200" w14:paraId="79CC0110" w14:textId="77777777" w:rsidTr="0072686A">
        <w:trPr>
          <w:trHeight w:val="340"/>
        </w:trPr>
        <w:tc>
          <w:tcPr>
            <w:tcW w:w="3005" w:type="dxa"/>
            <w:tcBorders>
              <w:bottom w:val="single" w:sz="8" w:space="0" w:color="auto"/>
            </w:tcBorders>
            <w:vAlign w:val="center"/>
          </w:tcPr>
          <w:p w14:paraId="729E91FC" w14:textId="065CC5E0" w:rsidR="00854EDF" w:rsidRPr="004459F3" w:rsidRDefault="00854EDF" w:rsidP="004459F3">
            <w:pPr>
              <w:spacing w:line="252" w:lineRule="auto"/>
              <w:ind w:left="1134"/>
              <w:contextualSpacing/>
              <w:rPr>
                <w:sz w:val="20"/>
                <w:szCs w:val="20"/>
              </w:rPr>
            </w:pPr>
            <w:r w:rsidRPr="004459F3">
              <w:rPr>
                <w:sz w:val="20"/>
                <w:szCs w:val="20"/>
              </w:rPr>
              <w:t>2024</w:t>
            </w:r>
            <w:r w:rsidR="000D3F5C" w:rsidRPr="004459F3">
              <w:rPr>
                <w:sz w:val="20"/>
                <w:szCs w:val="20"/>
              </w:rPr>
              <w:t>*</w:t>
            </w:r>
          </w:p>
        </w:tc>
        <w:tc>
          <w:tcPr>
            <w:tcW w:w="3061" w:type="dxa"/>
            <w:tcBorders>
              <w:bottom w:val="single" w:sz="8" w:space="0" w:color="auto"/>
            </w:tcBorders>
            <w:vAlign w:val="center"/>
          </w:tcPr>
          <w:p w14:paraId="48535DF1" w14:textId="77777777" w:rsidR="00854EDF" w:rsidRPr="004459F3" w:rsidRDefault="00854EDF" w:rsidP="00526C63">
            <w:pPr>
              <w:spacing w:line="252" w:lineRule="auto"/>
              <w:contextualSpacing/>
              <w:jc w:val="center"/>
              <w:rPr>
                <w:sz w:val="20"/>
                <w:szCs w:val="20"/>
              </w:rPr>
            </w:pPr>
            <w:r w:rsidRPr="004459F3">
              <w:rPr>
                <w:sz w:val="20"/>
                <w:szCs w:val="20"/>
              </w:rPr>
              <w:t>18</w:t>
            </w:r>
            <w:r w:rsidR="00F67B90" w:rsidRPr="004459F3">
              <w:rPr>
                <w:sz w:val="20"/>
                <w:szCs w:val="20"/>
              </w:rPr>
              <w:t> </w:t>
            </w:r>
            <w:r w:rsidRPr="004459F3">
              <w:rPr>
                <w:sz w:val="20"/>
                <w:szCs w:val="20"/>
              </w:rPr>
              <w:t>409</w:t>
            </w:r>
            <w:r w:rsidR="00F67B90" w:rsidRPr="004459F3">
              <w:rPr>
                <w:sz w:val="20"/>
                <w:szCs w:val="20"/>
              </w:rPr>
              <w:t>,</w:t>
            </w:r>
            <w:r w:rsidRPr="004459F3">
              <w:rPr>
                <w:sz w:val="20"/>
                <w:szCs w:val="20"/>
              </w:rPr>
              <w:t>20</w:t>
            </w:r>
          </w:p>
        </w:tc>
        <w:tc>
          <w:tcPr>
            <w:tcW w:w="3005" w:type="dxa"/>
            <w:tcBorders>
              <w:bottom w:val="single" w:sz="8" w:space="0" w:color="auto"/>
            </w:tcBorders>
            <w:vAlign w:val="center"/>
          </w:tcPr>
          <w:p w14:paraId="4147C7E2" w14:textId="6FEA9A4D" w:rsidR="00854EDF" w:rsidRPr="004459F3" w:rsidRDefault="006D715F" w:rsidP="004459F3">
            <w:pPr>
              <w:spacing w:line="252" w:lineRule="auto"/>
              <w:ind w:right="1020"/>
              <w:contextualSpacing/>
              <w:jc w:val="right"/>
              <w:rPr>
                <w:sz w:val="20"/>
                <w:szCs w:val="20"/>
              </w:rPr>
            </w:pPr>
            <w:r w:rsidRPr="004459F3">
              <w:rPr>
                <w:sz w:val="20"/>
                <w:szCs w:val="20"/>
              </w:rPr>
              <w:t>6</w:t>
            </w:r>
            <w:r w:rsidR="00F67B90" w:rsidRPr="004459F3">
              <w:rPr>
                <w:sz w:val="20"/>
                <w:szCs w:val="20"/>
              </w:rPr>
              <w:t> </w:t>
            </w:r>
            <w:r w:rsidRPr="004459F3">
              <w:rPr>
                <w:sz w:val="20"/>
                <w:szCs w:val="20"/>
              </w:rPr>
              <w:t>089</w:t>
            </w:r>
            <w:r w:rsidR="00F67B90" w:rsidRPr="004459F3">
              <w:rPr>
                <w:sz w:val="20"/>
                <w:szCs w:val="20"/>
              </w:rPr>
              <w:t>,</w:t>
            </w:r>
            <w:r w:rsidRPr="004459F3">
              <w:rPr>
                <w:sz w:val="20"/>
                <w:szCs w:val="20"/>
              </w:rPr>
              <w:t>70</w:t>
            </w:r>
          </w:p>
        </w:tc>
      </w:tr>
      <w:tr w:rsidR="00854EDF" w:rsidRPr="00757200" w14:paraId="5C430E1E" w14:textId="77777777" w:rsidTr="0072686A">
        <w:trPr>
          <w:trHeight w:val="340"/>
        </w:trPr>
        <w:tc>
          <w:tcPr>
            <w:tcW w:w="3005" w:type="dxa"/>
            <w:tcBorders>
              <w:top w:val="single" w:sz="8" w:space="0" w:color="auto"/>
              <w:bottom w:val="single" w:sz="8" w:space="0" w:color="auto"/>
            </w:tcBorders>
            <w:vAlign w:val="center"/>
          </w:tcPr>
          <w:p w14:paraId="2251CC75" w14:textId="301FCD63" w:rsidR="00854EDF" w:rsidRPr="004459F3" w:rsidRDefault="00526C63" w:rsidP="004459F3">
            <w:pPr>
              <w:spacing w:line="252" w:lineRule="auto"/>
              <w:ind w:left="-123"/>
              <w:contextualSpacing/>
              <w:jc w:val="center"/>
              <w:rPr>
                <w:b/>
                <w:sz w:val="20"/>
                <w:szCs w:val="20"/>
              </w:rPr>
            </w:pPr>
            <w:r>
              <w:rPr>
                <w:b/>
                <w:sz w:val="20"/>
                <w:szCs w:val="20"/>
              </w:rPr>
              <w:t>C</w:t>
            </w:r>
            <w:r w:rsidR="00854EDF" w:rsidRPr="004459F3">
              <w:rPr>
                <w:b/>
                <w:sz w:val="20"/>
                <w:szCs w:val="20"/>
              </w:rPr>
              <w:t>elkem</w:t>
            </w:r>
          </w:p>
        </w:tc>
        <w:tc>
          <w:tcPr>
            <w:tcW w:w="3061" w:type="dxa"/>
            <w:tcBorders>
              <w:top w:val="single" w:sz="8" w:space="0" w:color="auto"/>
              <w:bottom w:val="single" w:sz="8" w:space="0" w:color="auto"/>
            </w:tcBorders>
            <w:vAlign w:val="center"/>
          </w:tcPr>
          <w:p w14:paraId="371D71E8" w14:textId="77777777" w:rsidR="00854EDF" w:rsidRPr="004459F3" w:rsidRDefault="002160B3" w:rsidP="00526C63">
            <w:pPr>
              <w:spacing w:line="252" w:lineRule="auto"/>
              <w:contextualSpacing/>
              <w:jc w:val="center"/>
              <w:rPr>
                <w:b/>
                <w:sz w:val="20"/>
                <w:szCs w:val="20"/>
              </w:rPr>
            </w:pPr>
            <w:r w:rsidRPr="004459F3">
              <w:rPr>
                <w:b/>
                <w:sz w:val="20"/>
                <w:szCs w:val="20"/>
              </w:rPr>
              <w:t>93</w:t>
            </w:r>
            <w:r w:rsidR="00F67B90" w:rsidRPr="004459F3">
              <w:rPr>
                <w:b/>
                <w:sz w:val="20"/>
                <w:szCs w:val="20"/>
              </w:rPr>
              <w:t> </w:t>
            </w:r>
            <w:r w:rsidRPr="004459F3">
              <w:rPr>
                <w:b/>
                <w:sz w:val="20"/>
                <w:szCs w:val="20"/>
              </w:rPr>
              <w:t>499</w:t>
            </w:r>
            <w:r w:rsidR="00F67B90" w:rsidRPr="004459F3">
              <w:rPr>
                <w:b/>
                <w:sz w:val="20"/>
                <w:szCs w:val="20"/>
              </w:rPr>
              <w:t>,</w:t>
            </w:r>
            <w:r w:rsidRPr="004459F3">
              <w:rPr>
                <w:b/>
                <w:sz w:val="20"/>
                <w:szCs w:val="20"/>
              </w:rPr>
              <w:t>6</w:t>
            </w:r>
            <w:r w:rsidR="00F67B90" w:rsidRPr="004459F3">
              <w:rPr>
                <w:b/>
                <w:sz w:val="20"/>
                <w:szCs w:val="20"/>
              </w:rPr>
              <w:t>3</w:t>
            </w:r>
          </w:p>
        </w:tc>
        <w:tc>
          <w:tcPr>
            <w:tcW w:w="3005" w:type="dxa"/>
            <w:tcBorders>
              <w:top w:val="single" w:sz="8" w:space="0" w:color="auto"/>
              <w:bottom w:val="single" w:sz="8" w:space="0" w:color="auto"/>
            </w:tcBorders>
            <w:vAlign w:val="center"/>
          </w:tcPr>
          <w:p w14:paraId="7FA79D1B" w14:textId="77777777" w:rsidR="00854EDF" w:rsidRPr="004459F3" w:rsidRDefault="002160B3" w:rsidP="004459F3">
            <w:pPr>
              <w:spacing w:line="252" w:lineRule="auto"/>
              <w:ind w:right="1020"/>
              <w:contextualSpacing/>
              <w:jc w:val="right"/>
              <w:rPr>
                <w:b/>
                <w:sz w:val="20"/>
                <w:szCs w:val="20"/>
              </w:rPr>
            </w:pPr>
            <w:r w:rsidRPr="004459F3">
              <w:rPr>
                <w:b/>
                <w:sz w:val="20"/>
                <w:szCs w:val="20"/>
              </w:rPr>
              <w:t>21</w:t>
            </w:r>
            <w:r w:rsidR="00F67B90" w:rsidRPr="004459F3">
              <w:rPr>
                <w:b/>
                <w:sz w:val="20"/>
                <w:szCs w:val="20"/>
              </w:rPr>
              <w:t> </w:t>
            </w:r>
            <w:r w:rsidRPr="004459F3">
              <w:rPr>
                <w:b/>
                <w:sz w:val="20"/>
                <w:szCs w:val="20"/>
              </w:rPr>
              <w:t>131</w:t>
            </w:r>
            <w:r w:rsidR="00F67B90" w:rsidRPr="004459F3">
              <w:rPr>
                <w:b/>
                <w:sz w:val="20"/>
                <w:szCs w:val="20"/>
              </w:rPr>
              <w:t>,</w:t>
            </w:r>
            <w:r w:rsidRPr="004459F3">
              <w:rPr>
                <w:b/>
                <w:sz w:val="20"/>
                <w:szCs w:val="20"/>
              </w:rPr>
              <w:t>70</w:t>
            </w:r>
          </w:p>
        </w:tc>
      </w:tr>
    </w:tbl>
    <w:p w14:paraId="403993E5" w14:textId="4246A965" w:rsidR="00C345FE" w:rsidRDefault="00052107" w:rsidP="004459F3">
      <w:pPr>
        <w:spacing w:after="0" w:line="252" w:lineRule="auto"/>
        <w:contextualSpacing/>
        <w:rPr>
          <w:rFonts w:cstheme="minorHAnsi"/>
          <w:sz w:val="20"/>
          <w:szCs w:val="20"/>
        </w:rPr>
      </w:pPr>
      <w:r w:rsidRPr="004459F3">
        <w:rPr>
          <w:rFonts w:cstheme="minorHAnsi"/>
          <w:b/>
          <w:bCs/>
          <w:sz w:val="20"/>
          <w:szCs w:val="20"/>
        </w:rPr>
        <w:t>Zdroj:</w:t>
      </w:r>
      <w:r>
        <w:rPr>
          <w:rFonts w:cstheme="minorHAnsi"/>
          <w:sz w:val="20"/>
          <w:szCs w:val="20"/>
        </w:rPr>
        <w:t xml:space="preserve"> SFDI</w:t>
      </w:r>
      <w:r w:rsidR="00223D28">
        <w:rPr>
          <w:rFonts w:cstheme="minorHAnsi"/>
          <w:sz w:val="20"/>
          <w:szCs w:val="20"/>
        </w:rPr>
        <w:t>.</w:t>
      </w:r>
    </w:p>
    <w:p w14:paraId="5BE864EB" w14:textId="649D8AFA" w:rsidR="005C6165" w:rsidRDefault="005C6165" w:rsidP="00310EB2">
      <w:pPr>
        <w:spacing w:after="0" w:line="252" w:lineRule="auto"/>
        <w:contextualSpacing/>
        <w:rPr>
          <w:rFonts w:cstheme="minorHAnsi"/>
          <w:sz w:val="20"/>
          <w:szCs w:val="20"/>
        </w:rPr>
      </w:pPr>
      <w:r w:rsidRPr="00654DA2">
        <w:rPr>
          <w:rFonts w:cstheme="minorHAnsi"/>
          <w:sz w:val="20"/>
          <w:szCs w:val="20"/>
        </w:rPr>
        <w:t>* Údaje k 30. 9. 20</w:t>
      </w:r>
      <w:r>
        <w:rPr>
          <w:rFonts w:cstheme="minorHAnsi"/>
          <w:sz w:val="20"/>
          <w:szCs w:val="20"/>
        </w:rPr>
        <w:t>24.</w:t>
      </w:r>
    </w:p>
    <w:p w14:paraId="1286C082" w14:textId="77777777" w:rsidR="005C6165" w:rsidRDefault="005C6165" w:rsidP="00310EB2">
      <w:pPr>
        <w:spacing w:after="0" w:line="252" w:lineRule="auto"/>
        <w:contextualSpacing/>
        <w:rPr>
          <w:rFonts w:cstheme="minorHAnsi"/>
          <w:sz w:val="24"/>
          <w:szCs w:val="24"/>
        </w:rPr>
      </w:pPr>
    </w:p>
    <w:p w14:paraId="7BEB9566" w14:textId="0C48C360" w:rsidR="00245A45" w:rsidRPr="00A508F5" w:rsidRDefault="00FF1C2D" w:rsidP="00245A45">
      <w:pPr>
        <w:spacing w:after="0"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47 </w:t>
      </w:r>
      <w:r w:rsidR="00C345FE">
        <w:rPr>
          <w:rFonts w:cstheme="minorHAnsi"/>
          <w:sz w:val="24"/>
          <w:szCs w:val="24"/>
        </w:rPr>
        <w:t xml:space="preserve">SFDI </w:t>
      </w:r>
      <w:r w:rsidR="00CE104C">
        <w:rPr>
          <w:rFonts w:cstheme="minorHAnsi"/>
          <w:sz w:val="24"/>
          <w:szCs w:val="24"/>
        </w:rPr>
        <w:t>v</w:t>
      </w:r>
      <w:r w:rsidR="00245A45">
        <w:rPr>
          <w:rFonts w:cstheme="minorHAnsi"/>
          <w:sz w:val="24"/>
          <w:szCs w:val="24"/>
        </w:rPr>
        <w:t xml:space="preserve"> roce 2020 </w:t>
      </w:r>
      <w:r w:rsidR="004D7FD4">
        <w:rPr>
          <w:rFonts w:cstheme="minorHAnsi"/>
          <w:sz w:val="24"/>
          <w:szCs w:val="24"/>
        </w:rPr>
        <w:t xml:space="preserve">neobdržel žádnou platbu podílu </w:t>
      </w:r>
      <w:r w:rsidR="004D7FD4">
        <w:rPr>
          <w:rFonts w:eastAsia="Calibri" w:cstheme="minorHAnsi"/>
          <w:sz w:val="24"/>
          <w:szCs w:val="24"/>
        </w:rPr>
        <w:t>na pokutách z VKV. V</w:t>
      </w:r>
      <w:r w:rsidR="00C345FE">
        <w:rPr>
          <w:rFonts w:cstheme="minorHAnsi"/>
          <w:sz w:val="24"/>
          <w:szCs w:val="24"/>
        </w:rPr>
        <w:t> období od ledna 202</w:t>
      </w:r>
      <w:r w:rsidR="004D7FD4">
        <w:rPr>
          <w:rFonts w:cstheme="minorHAnsi"/>
          <w:sz w:val="24"/>
          <w:szCs w:val="24"/>
        </w:rPr>
        <w:t>1</w:t>
      </w:r>
      <w:r w:rsidR="00C345FE">
        <w:rPr>
          <w:rFonts w:cstheme="minorHAnsi"/>
          <w:sz w:val="24"/>
          <w:szCs w:val="24"/>
        </w:rPr>
        <w:t xml:space="preserve"> do září 2024 </w:t>
      </w:r>
      <w:r w:rsidR="004D7FD4">
        <w:rPr>
          <w:rFonts w:cstheme="minorHAnsi"/>
          <w:sz w:val="24"/>
          <w:szCs w:val="24"/>
        </w:rPr>
        <w:t>tyto platby obdržel</w:t>
      </w:r>
      <w:r w:rsidR="00C345FE">
        <w:rPr>
          <w:rFonts w:cstheme="minorHAnsi"/>
          <w:sz w:val="24"/>
          <w:szCs w:val="24"/>
        </w:rPr>
        <w:t xml:space="preserve"> od čtyř ze sedmi ORP, které mají ve své územní působnosti váhy pro VKV.</w:t>
      </w:r>
      <w:r w:rsidR="00D24C70">
        <w:rPr>
          <w:rFonts w:cstheme="minorHAnsi"/>
          <w:sz w:val="24"/>
          <w:szCs w:val="24"/>
        </w:rPr>
        <w:t xml:space="preserve"> </w:t>
      </w:r>
      <w:r w:rsidR="004D7FD4">
        <w:rPr>
          <w:rFonts w:cstheme="minorHAnsi"/>
          <w:sz w:val="24"/>
          <w:szCs w:val="24"/>
        </w:rPr>
        <w:t>Přitom 20,77 mil. Kč z celkových 21,13 mil</w:t>
      </w:r>
      <w:r w:rsidR="006C4C34">
        <w:rPr>
          <w:rFonts w:cstheme="minorHAnsi"/>
          <w:sz w:val="24"/>
          <w:szCs w:val="24"/>
        </w:rPr>
        <w:t>.</w:t>
      </w:r>
      <w:r w:rsidR="004D7FD4">
        <w:rPr>
          <w:rFonts w:cstheme="minorHAnsi"/>
          <w:sz w:val="24"/>
          <w:szCs w:val="24"/>
        </w:rPr>
        <w:t xml:space="preserve"> Kč</w:t>
      </w:r>
      <w:r w:rsidR="00A63514">
        <w:rPr>
          <w:rFonts w:cstheme="minorHAnsi"/>
          <w:sz w:val="24"/>
          <w:szCs w:val="24"/>
        </w:rPr>
        <w:t xml:space="preserve">, tj. přes 98 % objemu </w:t>
      </w:r>
      <w:r w:rsidR="00A63514">
        <w:rPr>
          <w:rFonts w:cstheme="minorHAnsi"/>
          <w:sz w:val="24"/>
          <w:szCs w:val="24"/>
        </w:rPr>
        <w:lastRenderedPageBreak/>
        <w:t>plateb</w:t>
      </w:r>
      <w:r w:rsidR="00CA1180">
        <w:rPr>
          <w:rFonts w:cstheme="minorHAnsi"/>
          <w:sz w:val="24"/>
          <w:szCs w:val="24"/>
        </w:rPr>
        <w:t>,</w:t>
      </w:r>
      <w:r w:rsidR="004D7FD4">
        <w:rPr>
          <w:rFonts w:cstheme="minorHAnsi"/>
          <w:sz w:val="24"/>
          <w:szCs w:val="24"/>
        </w:rPr>
        <w:t xml:space="preserve"> obdržel od dvou</w:t>
      </w:r>
      <w:r w:rsidR="00C1024C">
        <w:rPr>
          <w:rFonts w:cstheme="minorHAnsi"/>
          <w:sz w:val="24"/>
          <w:szCs w:val="24"/>
        </w:rPr>
        <w:t xml:space="preserve"> z těchto čtyř</w:t>
      </w:r>
      <w:r w:rsidR="004D7FD4">
        <w:rPr>
          <w:rFonts w:cstheme="minorHAnsi"/>
          <w:sz w:val="24"/>
          <w:szCs w:val="24"/>
        </w:rPr>
        <w:t xml:space="preserve"> ORP</w:t>
      </w:r>
      <w:r w:rsidR="00310EB2">
        <w:rPr>
          <w:rFonts w:cstheme="minorHAnsi"/>
          <w:sz w:val="24"/>
          <w:szCs w:val="24"/>
        </w:rPr>
        <w:t xml:space="preserve"> (ORP Židlochovice a ORP Lovosice)</w:t>
      </w:r>
      <w:r w:rsidR="00C1024C">
        <w:rPr>
          <w:rFonts w:cstheme="minorHAnsi"/>
          <w:sz w:val="24"/>
          <w:szCs w:val="24"/>
        </w:rPr>
        <w:t>; o</w:t>
      </w:r>
      <w:r w:rsidR="00D24C70">
        <w:rPr>
          <w:rFonts w:cstheme="minorHAnsi"/>
          <w:sz w:val="24"/>
          <w:szCs w:val="24"/>
        </w:rPr>
        <w:t xml:space="preserve">d tří ORP neobdržel žádný </w:t>
      </w:r>
      <w:r w:rsidR="00F67B90">
        <w:rPr>
          <w:rFonts w:cstheme="minorHAnsi"/>
          <w:sz w:val="24"/>
          <w:szCs w:val="24"/>
        </w:rPr>
        <w:t>příjem z pokut z</w:t>
      </w:r>
      <w:r w:rsidR="00310EB2">
        <w:rPr>
          <w:rFonts w:cstheme="minorHAnsi"/>
          <w:sz w:val="24"/>
          <w:szCs w:val="24"/>
        </w:rPr>
        <w:t> </w:t>
      </w:r>
      <w:r w:rsidR="00F67B90">
        <w:rPr>
          <w:rFonts w:cstheme="minorHAnsi"/>
          <w:sz w:val="24"/>
          <w:szCs w:val="24"/>
        </w:rPr>
        <w:t>VKV</w:t>
      </w:r>
      <w:r w:rsidR="00310EB2">
        <w:rPr>
          <w:rFonts w:cstheme="minorHAnsi"/>
          <w:sz w:val="24"/>
          <w:szCs w:val="24"/>
        </w:rPr>
        <w:t xml:space="preserve"> (ORP Černošice, ORP Nýřany, ORP Olomouc)</w:t>
      </w:r>
      <w:r w:rsidR="00F67B90">
        <w:rPr>
          <w:rFonts w:cstheme="minorHAnsi"/>
          <w:sz w:val="24"/>
          <w:szCs w:val="24"/>
        </w:rPr>
        <w:t>.</w:t>
      </w:r>
      <w:r w:rsidR="008827BD" w:rsidRPr="008827BD">
        <w:rPr>
          <w:rFonts w:cstheme="minorHAnsi"/>
          <w:sz w:val="24"/>
          <w:szCs w:val="24"/>
        </w:rPr>
        <w:t xml:space="preserve"> </w:t>
      </w:r>
      <w:r w:rsidR="00245A45">
        <w:rPr>
          <w:rFonts w:cstheme="minorHAnsi"/>
          <w:sz w:val="24"/>
          <w:szCs w:val="24"/>
        </w:rPr>
        <w:t xml:space="preserve">Přehled těchto příjmů je </w:t>
      </w:r>
      <w:r w:rsidR="00A63514">
        <w:rPr>
          <w:rFonts w:cstheme="minorHAnsi"/>
          <w:sz w:val="24"/>
          <w:szCs w:val="24"/>
        </w:rPr>
        <w:t>uved</w:t>
      </w:r>
      <w:r w:rsidR="00245A45">
        <w:rPr>
          <w:rFonts w:cstheme="minorHAnsi"/>
          <w:sz w:val="24"/>
          <w:szCs w:val="24"/>
        </w:rPr>
        <w:t>en v tabulce č</w:t>
      </w:r>
      <w:r w:rsidR="00245A45" w:rsidRPr="00A508F5">
        <w:rPr>
          <w:rFonts w:cstheme="minorHAnsi"/>
          <w:sz w:val="24"/>
          <w:szCs w:val="24"/>
        </w:rPr>
        <w:t xml:space="preserve">. </w:t>
      </w:r>
      <w:r w:rsidR="002B00AC">
        <w:rPr>
          <w:rFonts w:cstheme="minorHAnsi"/>
          <w:sz w:val="24"/>
          <w:szCs w:val="24"/>
        </w:rPr>
        <w:t>7</w:t>
      </w:r>
      <w:r w:rsidR="00245A45" w:rsidRPr="00A508F5">
        <w:rPr>
          <w:rFonts w:cstheme="minorHAnsi"/>
          <w:sz w:val="24"/>
          <w:szCs w:val="24"/>
        </w:rPr>
        <w:t>.</w:t>
      </w:r>
    </w:p>
    <w:p w14:paraId="17CF68C3" w14:textId="77777777" w:rsidR="00A60493" w:rsidRPr="00A508F5" w:rsidRDefault="00A60493" w:rsidP="00C345FE">
      <w:pPr>
        <w:spacing w:after="0" w:line="252" w:lineRule="auto"/>
        <w:contextualSpacing/>
        <w:jc w:val="both"/>
        <w:rPr>
          <w:rFonts w:cstheme="minorHAnsi"/>
          <w:sz w:val="24"/>
          <w:szCs w:val="24"/>
        </w:rPr>
      </w:pPr>
    </w:p>
    <w:p w14:paraId="0AF2BA50" w14:textId="5E7BEE66" w:rsidR="004D7FD4" w:rsidRDefault="00A60493" w:rsidP="004459F3">
      <w:pPr>
        <w:keepNext/>
        <w:tabs>
          <w:tab w:val="left" w:pos="1276"/>
          <w:tab w:val="right" w:pos="9071"/>
        </w:tabs>
        <w:spacing w:after="0" w:line="252" w:lineRule="auto"/>
        <w:contextualSpacing/>
        <w:jc w:val="both"/>
        <w:rPr>
          <w:rFonts w:ascii="Calibri" w:eastAsia="Calibri" w:hAnsi="Calibri" w:cs="Calibri"/>
          <w:b/>
          <w:sz w:val="24"/>
          <w:szCs w:val="24"/>
        </w:rPr>
      </w:pPr>
      <w:r w:rsidRPr="00A508F5">
        <w:rPr>
          <w:rFonts w:cstheme="minorHAnsi"/>
          <w:b/>
          <w:sz w:val="24"/>
          <w:szCs w:val="24"/>
        </w:rPr>
        <w:t xml:space="preserve">Tabulka č. </w:t>
      </w:r>
      <w:r w:rsidR="002B00AC">
        <w:rPr>
          <w:rFonts w:cstheme="minorHAnsi"/>
          <w:b/>
          <w:sz w:val="24"/>
          <w:szCs w:val="24"/>
        </w:rPr>
        <w:t>7</w:t>
      </w:r>
      <w:r w:rsidRPr="00A508F5">
        <w:rPr>
          <w:rFonts w:cstheme="minorHAnsi"/>
          <w:b/>
          <w:sz w:val="24"/>
          <w:szCs w:val="24"/>
        </w:rPr>
        <w:t>:</w:t>
      </w:r>
      <w:r w:rsidR="00526C63">
        <w:rPr>
          <w:rFonts w:cstheme="minorHAnsi"/>
          <w:b/>
          <w:sz w:val="24"/>
          <w:szCs w:val="24"/>
        </w:rPr>
        <w:t xml:space="preserve"> </w:t>
      </w:r>
      <w:r w:rsidR="004D7FD4" w:rsidRPr="00A508F5">
        <w:rPr>
          <w:rFonts w:ascii="Calibri" w:eastAsia="Calibri" w:hAnsi="Calibri" w:cs="Calibri"/>
          <w:b/>
          <w:sz w:val="24"/>
          <w:szCs w:val="24"/>
        </w:rPr>
        <w:t>Příjmy</w:t>
      </w:r>
      <w:r w:rsidR="004D7FD4" w:rsidRPr="00757200">
        <w:rPr>
          <w:rFonts w:ascii="Calibri" w:eastAsia="Calibri" w:hAnsi="Calibri" w:cs="Calibri"/>
          <w:b/>
          <w:sz w:val="24"/>
          <w:szCs w:val="24"/>
        </w:rPr>
        <w:t xml:space="preserve"> SFDI z pokut z </w:t>
      </w:r>
      <w:r w:rsidR="004D7FD4">
        <w:rPr>
          <w:rFonts w:ascii="Calibri" w:eastAsia="Calibri" w:hAnsi="Calibri" w:cs="Calibri"/>
          <w:b/>
          <w:sz w:val="24"/>
          <w:szCs w:val="24"/>
        </w:rPr>
        <w:t>VKV</w:t>
      </w:r>
      <w:r w:rsidR="004D7FD4" w:rsidRPr="00757200">
        <w:rPr>
          <w:rFonts w:ascii="Calibri" w:eastAsia="Calibri" w:hAnsi="Calibri" w:cs="Calibri"/>
          <w:b/>
          <w:sz w:val="24"/>
          <w:szCs w:val="24"/>
        </w:rPr>
        <w:t xml:space="preserve"> </w:t>
      </w:r>
      <w:r w:rsidR="00526C63">
        <w:rPr>
          <w:rFonts w:ascii="Calibri" w:eastAsia="Calibri" w:hAnsi="Calibri" w:cs="Calibri"/>
          <w:b/>
          <w:sz w:val="24"/>
          <w:szCs w:val="24"/>
        </w:rPr>
        <w:tab/>
      </w:r>
      <w:r w:rsidR="004D7FD4" w:rsidRPr="00757200">
        <w:rPr>
          <w:rFonts w:ascii="Calibri" w:eastAsia="Calibri" w:hAnsi="Calibri" w:cs="Calibri"/>
          <w:b/>
          <w:sz w:val="24"/>
          <w:szCs w:val="24"/>
        </w:rPr>
        <w:t xml:space="preserve">(v </w:t>
      </w:r>
      <w:r w:rsidR="004D7FD4">
        <w:rPr>
          <w:rFonts w:ascii="Calibri" w:eastAsia="Calibri" w:hAnsi="Calibri" w:cs="Calibri"/>
          <w:b/>
          <w:sz w:val="24"/>
          <w:szCs w:val="24"/>
        </w:rPr>
        <w:t xml:space="preserve">tis. </w:t>
      </w:r>
      <w:r w:rsidR="004D7FD4" w:rsidRPr="00757200">
        <w:rPr>
          <w:rFonts w:ascii="Calibri" w:eastAsia="Calibri" w:hAnsi="Calibri" w:cs="Calibri"/>
          <w:b/>
          <w:sz w:val="24"/>
          <w:szCs w:val="24"/>
        </w:rPr>
        <w:t>Kč)</w:t>
      </w:r>
    </w:p>
    <w:p w14:paraId="1CE24EC1" w14:textId="77777777" w:rsidR="00A83EFC" w:rsidRPr="00A83EFC" w:rsidRDefault="00A83EFC" w:rsidP="004D7FD4">
      <w:pPr>
        <w:keepNext/>
        <w:spacing w:after="0" w:line="252" w:lineRule="auto"/>
        <w:contextualSpacing/>
        <w:jc w:val="both"/>
        <w:rPr>
          <w:rFonts w:ascii="Calibri" w:eastAsia="Calibri" w:hAnsi="Calibri" w:cs="Calibri"/>
          <w:b/>
          <w:sz w:val="6"/>
          <w:szCs w:val="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7"/>
        <w:gridCol w:w="1474"/>
        <w:gridCol w:w="1021"/>
        <w:gridCol w:w="1134"/>
        <w:gridCol w:w="1134"/>
        <w:gridCol w:w="1134"/>
        <w:gridCol w:w="1134"/>
        <w:gridCol w:w="1134"/>
      </w:tblGrid>
      <w:tr w:rsidR="004459F3" w:rsidRPr="00447172" w14:paraId="75C843C0" w14:textId="77777777" w:rsidTr="004459F3">
        <w:trPr>
          <w:trHeight w:val="340"/>
        </w:trPr>
        <w:tc>
          <w:tcPr>
            <w:tcW w:w="907" w:type="dxa"/>
            <w:tcBorders>
              <w:top w:val="single" w:sz="8" w:space="0" w:color="auto"/>
              <w:left w:val="single" w:sz="8" w:space="0" w:color="auto"/>
              <w:bottom w:val="single" w:sz="8" w:space="0" w:color="auto"/>
            </w:tcBorders>
            <w:shd w:val="clear" w:color="auto" w:fill="E6E6E6"/>
            <w:noWrap/>
            <w:vAlign w:val="center"/>
            <w:hideMark/>
          </w:tcPr>
          <w:p w14:paraId="30F404BA" w14:textId="77777777" w:rsidR="004D7FD4" w:rsidRPr="004459F3" w:rsidRDefault="004D7FD4" w:rsidP="00A60493">
            <w:pPr>
              <w:spacing w:after="0" w:line="252" w:lineRule="auto"/>
              <w:jc w:val="center"/>
              <w:rPr>
                <w:rFonts w:ascii="Calibri" w:hAnsi="Calibri" w:cs="Calibri"/>
                <w:b/>
                <w:bCs/>
                <w:color w:val="000000"/>
                <w:sz w:val="20"/>
                <w:szCs w:val="20"/>
                <w:lang w:eastAsia="cs-CZ"/>
              </w:rPr>
            </w:pPr>
            <w:r w:rsidRPr="004459F3">
              <w:rPr>
                <w:rFonts w:ascii="Calibri" w:hAnsi="Calibri" w:cs="Calibri"/>
                <w:b/>
                <w:bCs/>
                <w:color w:val="000000"/>
                <w:sz w:val="20"/>
                <w:szCs w:val="20"/>
              </w:rPr>
              <w:t>Dálnice</w:t>
            </w:r>
          </w:p>
        </w:tc>
        <w:tc>
          <w:tcPr>
            <w:tcW w:w="1474" w:type="dxa"/>
            <w:tcBorders>
              <w:top w:val="single" w:sz="8" w:space="0" w:color="auto"/>
              <w:bottom w:val="single" w:sz="8" w:space="0" w:color="auto"/>
            </w:tcBorders>
            <w:shd w:val="clear" w:color="auto" w:fill="E6E6E6"/>
            <w:vAlign w:val="center"/>
          </w:tcPr>
          <w:p w14:paraId="1C661968" w14:textId="77777777"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ORP</w:t>
            </w:r>
          </w:p>
        </w:tc>
        <w:tc>
          <w:tcPr>
            <w:tcW w:w="1020" w:type="dxa"/>
            <w:tcBorders>
              <w:top w:val="single" w:sz="8" w:space="0" w:color="auto"/>
              <w:bottom w:val="single" w:sz="8" w:space="0" w:color="auto"/>
            </w:tcBorders>
            <w:shd w:val="clear" w:color="auto" w:fill="E6E6E6"/>
            <w:vAlign w:val="center"/>
          </w:tcPr>
          <w:p w14:paraId="13E96959" w14:textId="77777777"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Zahájení VKV</w:t>
            </w:r>
          </w:p>
        </w:tc>
        <w:tc>
          <w:tcPr>
            <w:tcW w:w="1134" w:type="dxa"/>
            <w:tcBorders>
              <w:top w:val="single" w:sz="8" w:space="0" w:color="auto"/>
              <w:bottom w:val="single" w:sz="8" w:space="0" w:color="auto"/>
            </w:tcBorders>
            <w:shd w:val="clear" w:color="auto" w:fill="E6E6E6"/>
            <w:noWrap/>
            <w:vAlign w:val="center"/>
          </w:tcPr>
          <w:p w14:paraId="7C7B4881" w14:textId="77777777"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2021</w:t>
            </w:r>
          </w:p>
        </w:tc>
        <w:tc>
          <w:tcPr>
            <w:tcW w:w="1134" w:type="dxa"/>
            <w:tcBorders>
              <w:top w:val="single" w:sz="8" w:space="0" w:color="auto"/>
              <w:bottom w:val="single" w:sz="8" w:space="0" w:color="auto"/>
            </w:tcBorders>
            <w:shd w:val="clear" w:color="auto" w:fill="E6E6E6"/>
            <w:vAlign w:val="center"/>
          </w:tcPr>
          <w:p w14:paraId="20998084" w14:textId="77777777"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2022</w:t>
            </w:r>
          </w:p>
        </w:tc>
        <w:tc>
          <w:tcPr>
            <w:tcW w:w="1134" w:type="dxa"/>
            <w:tcBorders>
              <w:top w:val="single" w:sz="8" w:space="0" w:color="auto"/>
              <w:bottom w:val="single" w:sz="8" w:space="0" w:color="auto"/>
            </w:tcBorders>
            <w:shd w:val="clear" w:color="auto" w:fill="E6E6E6"/>
            <w:vAlign w:val="center"/>
          </w:tcPr>
          <w:p w14:paraId="3BE400F9" w14:textId="77777777"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2023</w:t>
            </w:r>
          </w:p>
        </w:tc>
        <w:tc>
          <w:tcPr>
            <w:tcW w:w="1134" w:type="dxa"/>
            <w:tcBorders>
              <w:top w:val="single" w:sz="8" w:space="0" w:color="auto"/>
              <w:bottom w:val="single" w:sz="8" w:space="0" w:color="auto"/>
            </w:tcBorders>
            <w:shd w:val="clear" w:color="auto" w:fill="E6E6E6"/>
            <w:vAlign w:val="center"/>
          </w:tcPr>
          <w:p w14:paraId="35063310" w14:textId="5375A58E" w:rsidR="004D7FD4" w:rsidRPr="004459F3" w:rsidRDefault="004D7FD4" w:rsidP="00A60493">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2024*</w:t>
            </w:r>
          </w:p>
        </w:tc>
        <w:tc>
          <w:tcPr>
            <w:tcW w:w="1134" w:type="dxa"/>
            <w:tcBorders>
              <w:top w:val="single" w:sz="8" w:space="0" w:color="auto"/>
              <w:bottom w:val="single" w:sz="8" w:space="0" w:color="auto"/>
              <w:right w:val="single" w:sz="8" w:space="0" w:color="auto"/>
            </w:tcBorders>
            <w:shd w:val="clear" w:color="auto" w:fill="E6E6E6"/>
            <w:vAlign w:val="center"/>
          </w:tcPr>
          <w:p w14:paraId="49E1C826" w14:textId="77777777" w:rsidR="004D7FD4" w:rsidRPr="004459F3" w:rsidRDefault="004D7FD4" w:rsidP="004D7FD4">
            <w:pPr>
              <w:spacing w:after="0" w:line="252" w:lineRule="auto"/>
              <w:jc w:val="center"/>
              <w:rPr>
                <w:rFonts w:ascii="Calibri" w:hAnsi="Calibri" w:cs="Calibri"/>
                <w:b/>
                <w:bCs/>
                <w:color w:val="000000"/>
                <w:sz w:val="20"/>
                <w:szCs w:val="20"/>
              </w:rPr>
            </w:pPr>
            <w:r w:rsidRPr="004459F3">
              <w:rPr>
                <w:rFonts w:ascii="Calibri" w:hAnsi="Calibri" w:cs="Calibri"/>
                <w:b/>
                <w:bCs/>
                <w:color w:val="000000"/>
                <w:sz w:val="20"/>
                <w:szCs w:val="20"/>
              </w:rPr>
              <w:t>Celkem</w:t>
            </w:r>
          </w:p>
        </w:tc>
      </w:tr>
      <w:tr w:rsidR="004D7FD4" w:rsidRPr="00447172" w14:paraId="2908EB61" w14:textId="77777777" w:rsidTr="004459F3">
        <w:trPr>
          <w:trHeight w:val="340"/>
        </w:trPr>
        <w:tc>
          <w:tcPr>
            <w:tcW w:w="907" w:type="dxa"/>
            <w:tcBorders>
              <w:top w:val="single" w:sz="8" w:space="0" w:color="auto"/>
              <w:left w:val="single" w:sz="8" w:space="0" w:color="auto"/>
            </w:tcBorders>
            <w:shd w:val="clear" w:color="auto" w:fill="auto"/>
            <w:noWrap/>
            <w:vAlign w:val="center"/>
            <w:hideMark/>
          </w:tcPr>
          <w:p w14:paraId="1EDC16CF"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D1</w:t>
            </w:r>
          </w:p>
        </w:tc>
        <w:tc>
          <w:tcPr>
            <w:tcW w:w="1474" w:type="dxa"/>
            <w:tcBorders>
              <w:top w:val="single" w:sz="8" w:space="0" w:color="auto"/>
            </w:tcBorders>
            <w:vAlign w:val="center"/>
          </w:tcPr>
          <w:p w14:paraId="7C63D8FD"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Jihlava</w:t>
            </w:r>
          </w:p>
        </w:tc>
        <w:tc>
          <w:tcPr>
            <w:tcW w:w="1020" w:type="dxa"/>
            <w:tcBorders>
              <w:top w:val="single" w:sz="8" w:space="0" w:color="auto"/>
            </w:tcBorders>
            <w:vAlign w:val="center"/>
          </w:tcPr>
          <w:p w14:paraId="1D88614A"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03/2022</w:t>
            </w:r>
          </w:p>
        </w:tc>
        <w:tc>
          <w:tcPr>
            <w:tcW w:w="1134" w:type="dxa"/>
            <w:tcBorders>
              <w:top w:val="single" w:sz="8" w:space="0" w:color="auto"/>
            </w:tcBorders>
            <w:shd w:val="clear" w:color="auto" w:fill="auto"/>
            <w:noWrap/>
            <w:vAlign w:val="center"/>
          </w:tcPr>
          <w:p w14:paraId="140925A2"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top w:val="single" w:sz="8" w:space="0" w:color="auto"/>
            </w:tcBorders>
            <w:vAlign w:val="center"/>
          </w:tcPr>
          <w:p w14:paraId="3DF571D9"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top w:val="single" w:sz="8" w:space="0" w:color="auto"/>
            </w:tcBorders>
            <w:vAlign w:val="center"/>
          </w:tcPr>
          <w:p w14:paraId="0C1D5BF1"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top w:val="single" w:sz="8" w:space="0" w:color="auto"/>
            </w:tcBorders>
            <w:vAlign w:val="center"/>
          </w:tcPr>
          <w:p w14:paraId="5D5CD250"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260,70</w:t>
            </w:r>
          </w:p>
        </w:tc>
        <w:tc>
          <w:tcPr>
            <w:tcW w:w="1134" w:type="dxa"/>
            <w:tcBorders>
              <w:top w:val="single" w:sz="8" w:space="0" w:color="auto"/>
              <w:right w:val="single" w:sz="8" w:space="0" w:color="auto"/>
            </w:tcBorders>
            <w:vAlign w:val="center"/>
          </w:tcPr>
          <w:p w14:paraId="4CFD35E2"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260,70</w:t>
            </w:r>
          </w:p>
        </w:tc>
      </w:tr>
      <w:tr w:rsidR="004D7FD4" w:rsidRPr="00447172" w14:paraId="41026874" w14:textId="77777777" w:rsidTr="004459F3">
        <w:trPr>
          <w:trHeight w:val="340"/>
        </w:trPr>
        <w:tc>
          <w:tcPr>
            <w:tcW w:w="907" w:type="dxa"/>
            <w:tcBorders>
              <w:left w:val="single" w:sz="8" w:space="0" w:color="auto"/>
            </w:tcBorders>
            <w:shd w:val="clear" w:color="auto" w:fill="auto"/>
            <w:noWrap/>
            <w:vAlign w:val="center"/>
            <w:hideMark/>
          </w:tcPr>
          <w:p w14:paraId="563ABEA1"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D2</w:t>
            </w:r>
          </w:p>
        </w:tc>
        <w:tc>
          <w:tcPr>
            <w:tcW w:w="1474" w:type="dxa"/>
            <w:vAlign w:val="center"/>
          </w:tcPr>
          <w:p w14:paraId="26B010E3"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Židlochovice</w:t>
            </w:r>
          </w:p>
        </w:tc>
        <w:tc>
          <w:tcPr>
            <w:tcW w:w="1020" w:type="dxa"/>
            <w:vAlign w:val="center"/>
          </w:tcPr>
          <w:p w14:paraId="4B84AB9B"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11/2021</w:t>
            </w:r>
          </w:p>
        </w:tc>
        <w:tc>
          <w:tcPr>
            <w:tcW w:w="1134" w:type="dxa"/>
            <w:shd w:val="clear" w:color="auto" w:fill="auto"/>
            <w:noWrap/>
            <w:vAlign w:val="center"/>
          </w:tcPr>
          <w:p w14:paraId="3BB83CAA"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162,00</w:t>
            </w:r>
          </w:p>
        </w:tc>
        <w:tc>
          <w:tcPr>
            <w:tcW w:w="1134" w:type="dxa"/>
            <w:vAlign w:val="center"/>
          </w:tcPr>
          <w:p w14:paraId="25FC1A0E"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235,40</w:t>
            </w:r>
          </w:p>
        </w:tc>
        <w:tc>
          <w:tcPr>
            <w:tcW w:w="1134" w:type="dxa"/>
            <w:vAlign w:val="center"/>
          </w:tcPr>
          <w:p w14:paraId="53804BD3"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10 815,00</w:t>
            </w:r>
          </w:p>
        </w:tc>
        <w:tc>
          <w:tcPr>
            <w:tcW w:w="1134" w:type="dxa"/>
            <w:vAlign w:val="center"/>
          </w:tcPr>
          <w:p w14:paraId="7BE9B517"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4 665,40</w:t>
            </w:r>
          </w:p>
        </w:tc>
        <w:tc>
          <w:tcPr>
            <w:tcW w:w="1134" w:type="dxa"/>
            <w:tcBorders>
              <w:right w:val="single" w:sz="8" w:space="0" w:color="auto"/>
            </w:tcBorders>
            <w:vAlign w:val="center"/>
          </w:tcPr>
          <w:p w14:paraId="4FD53295"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15 877,80</w:t>
            </w:r>
          </w:p>
        </w:tc>
      </w:tr>
      <w:tr w:rsidR="004D7FD4" w:rsidRPr="00447172" w14:paraId="1B0A415D" w14:textId="77777777" w:rsidTr="004459F3">
        <w:trPr>
          <w:trHeight w:val="340"/>
        </w:trPr>
        <w:tc>
          <w:tcPr>
            <w:tcW w:w="907" w:type="dxa"/>
            <w:tcBorders>
              <w:left w:val="single" w:sz="8" w:space="0" w:color="auto"/>
            </w:tcBorders>
            <w:shd w:val="clear" w:color="auto" w:fill="auto"/>
            <w:noWrap/>
            <w:vAlign w:val="center"/>
            <w:hideMark/>
          </w:tcPr>
          <w:p w14:paraId="146DFA51"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D4</w:t>
            </w:r>
          </w:p>
        </w:tc>
        <w:tc>
          <w:tcPr>
            <w:tcW w:w="1474" w:type="dxa"/>
            <w:vAlign w:val="center"/>
          </w:tcPr>
          <w:p w14:paraId="5A28B68A"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Černošice</w:t>
            </w:r>
          </w:p>
        </w:tc>
        <w:tc>
          <w:tcPr>
            <w:tcW w:w="1020" w:type="dxa"/>
            <w:vAlign w:val="center"/>
          </w:tcPr>
          <w:p w14:paraId="66EFA00D"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04/2024</w:t>
            </w:r>
          </w:p>
        </w:tc>
        <w:tc>
          <w:tcPr>
            <w:tcW w:w="1134" w:type="dxa"/>
            <w:shd w:val="clear" w:color="auto" w:fill="auto"/>
            <w:noWrap/>
            <w:vAlign w:val="center"/>
          </w:tcPr>
          <w:p w14:paraId="11DBFD59"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3F930504"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06344173"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1DBF87D6"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right w:val="single" w:sz="8" w:space="0" w:color="auto"/>
            </w:tcBorders>
            <w:vAlign w:val="center"/>
          </w:tcPr>
          <w:p w14:paraId="57CAD2EA"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r>
      <w:tr w:rsidR="004D7FD4" w:rsidRPr="00447172" w14:paraId="2E2A4C2E" w14:textId="77777777" w:rsidTr="004459F3">
        <w:trPr>
          <w:trHeight w:val="340"/>
        </w:trPr>
        <w:tc>
          <w:tcPr>
            <w:tcW w:w="907" w:type="dxa"/>
            <w:tcBorders>
              <w:left w:val="single" w:sz="8" w:space="0" w:color="auto"/>
            </w:tcBorders>
            <w:shd w:val="clear" w:color="auto" w:fill="auto"/>
            <w:noWrap/>
            <w:vAlign w:val="center"/>
            <w:hideMark/>
          </w:tcPr>
          <w:p w14:paraId="737A44E7"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D5</w:t>
            </w:r>
          </w:p>
        </w:tc>
        <w:tc>
          <w:tcPr>
            <w:tcW w:w="1474" w:type="dxa"/>
            <w:vAlign w:val="center"/>
          </w:tcPr>
          <w:p w14:paraId="34B253FF"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Nýřany</w:t>
            </w:r>
          </w:p>
        </w:tc>
        <w:tc>
          <w:tcPr>
            <w:tcW w:w="1020" w:type="dxa"/>
            <w:vAlign w:val="center"/>
          </w:tcPr>
          <w:p w14:paraId="384D1DB4"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01/2020</w:t>
            </w:r>
          </w:p>
        </w:tc>
        <w:tc>
          <w:tcPr>
            <w:tcW w:w="1134" w:type="dxa"/>
            <w:shd w:val="clear" w:color="auto" w:fill="auto"/>
            <w:noWrap/>
            <w:vAlign w:val="center"/>
          </w:tcPr>
          <w:p w14:paraId="0179417C"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23D1E347"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4608DB3C"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5CCF53DD"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right w:val="single" w:sz="8" w:space="0" w:color="auto"/>
            </w:tcBorders>
            <w:vAlign w:val="center"/>
          </w:tcPr>
          <w:p w14:paraId="18D13D53"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r>
      <w:tr w:rsidR="004D7FD4" w:rsidRPr="00447172" w14:paraId="0A0FF655" w14:textId="77777777" w:rsidTr="004459F3">
        <w:trPr>
          <w:trHeight w:val="340"/>
        </w:trPr>
        <w:tc>
          <w:tcPr>
            <w:tcW w:w="907" w:type="dxa"/>
            <w:tcBorders>
              <w:left w:val="single" w:sz="8" w:space="0" w:color="auto"/>
            </w:tcBorders>
            <w:shd w:val="clear" w:color="auto" w:fill="auto"/>
            <w:noWrap/>
            <w:vAlign w:val="center"/>
            <w:hideMark/>
          </w:tcPr>
          <w:p w14:paraId="27B94EF0"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D8</w:t>
            </w:r>
          </w:p>
        </w:tc>
        <w:tc>
          <w:tcPr>
            <w:tcW w:w="1474" w:type="dxa"/>
            <w:vAlign w:val="center"/>
          </w:tcPr>
          <w:p w14:paraId="0B1618F2"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Lovosice</w:t>
            </w:r>
          </w:p>
        </w:tc>
        <w:tc>
          <w:tcPr>
            <w:tcW w:w="1020" w:type="dxa"/>
            <w:vAlign w:val="center"/>
          </w:tcPr>
          <w:p w14:paraId="69C7A187"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02/2022</w:t>
            </w:r>
          </w:p>
        </w:tc>
        <w:tc>
          <w:tcPr>
            <w:tcW w:w="1134" w:type="dxa"/>
            <w:shd w:val="clear" w:color="auto" w:fill="auto"/>
            <w:noWrap/>
            <w:vAlign w:val="center"/>
          </w:tcPr>
          <w:p w14:paraId="2A8C98ED"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6ED3909D"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2 148,40</w:t>
            </w:r>
          </w:p>
        </w:tc>
        <w:tc>
          <w:tcPr>
            <w:tcW w:w="1134" w:type="dxa"/>
            <w:vAlign w:val="center"/>
          </w:tcPr>
          <w:p w14:paraId="455FD30B"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1 681,20</w:t>
            </w:r>
          </w:p>
        </w:tc>
        <w:tc>
          <w:tcPr>
            <w:tcW w:w="1134" w:type="dxa"/>
            <w:vAlign w:val="center"/>
          </w:tcPr>
          <w:p w14:paraId="08301827"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1 067,40</w:t>
            </w:r>
          </w:p>
        </w:tc>
        <w:tc>
          <w:tcPr>
            <w:tcW w:w="1134" w:type="dxa"/>
            <w:tcBorders>
              <w:right w:val="single" w:sz="8" w:space="0" w:color="auto"/>
            </w:tcBorders>
            <w:vAlign w:val="center"/>
          </w:tcPr>
          <w:p w14:paraId="381B4AC3"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4 897,00</w:t>
            </w:r>
          </w:p>
        </w:tc>
      </w:tr>
      <w:tr w:rsidR="004D7FD4" w:rsidRPr="00447172" w14:paraId="7ADA35E8" w14:textId="77777777" w:rsidTr="004459F3">
        <w:trPr>
          <w:trHeight w:val="340"/>
        </w:trPr>
        <w:tc>
          <w:tcPr>
            <w:tcW w:w="907" w:type="dxa"/>
            <w:tcBorders>
              <w:left w:val="single" w:sz="8" w:space="0" w:color="auto"/>
            </w:tcBorders>
            <w:shd w:val="clear" w:color="auto" w:fill="auto"/>
            <w:noWrap/>
            <w:vAlign w:val="center"/>
            <w:hideMark/>
          </w:tcPr>
          <w:p w14:paraId="2169C60A"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D35</w:t>
            </w:r>
          </w:p>
        </w:tc>
        <w:tc>
          <w:tcPr>
            <w:tcW w:w="1474" w:type="dxa"/>
            <w:vAlign w:val="center"/>
          </w:tcPr>
          <w:p w14:paraId="71DF3915"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Olomouc</w:t>
            </w:r>
          </w:p>
        </w:tc>
        <w:tc>
          <w:tcPr>
            <w:tcW w:w="1020" w:type="dxa"/>
            <w:vAlign w:val="center"/>
          </w:tcPr>
          <w:p w14:paraId="1B9DD776"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03/2020</w:t>
            </w:r>
          </w:p>
        </w:tc>
        <w:tc>
          <w:tcPr>
            <w:tcW w:w="1134" w:type="dxa"/>
            <w:shd w:val="clear" w:color="auto" w:fill="auto"/>
            <w:noWrap/>
            <w:vAlign w:val="center"/>
          </w:tcPr>
          <w:p w14:paraId="115F9506"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1AE4C1C7"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54EAA46B"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vAlign w:val="center"/>
          </w:tcPr>
          <w:p w14:paraId="48B26E65"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right w:val="single" w:sz="8" w:space="0" w:color="auto"/>
            </w:tcBorders>
            <w:vAlign w:val="center"/>
          </w:tcPr>
          <w:p w14:paraId="0041E426"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r>
      <w:tr w:rsidR="004D7FD4" w:rsidRPr="00447172" w14:paraId="79F57998" w14:textId="77777777" w:rsidTr="004459F3">
        <w:trPr>
          <w:trHeight w:val="340"/>
        </w:trPr>
        <w:tc>
          <w:tcPr>
            <w:tcW w:w="907" w:type="dxa"/>
            <w:tcBorders>
              <w:left w:val="single" w:sz="8" w:space="0" w:color="auto"/>
              <w:bottom w:val="single" w:sz="8" w:space="0" w:color="auto"/>
            </w:tcBorders>
            <w:shd w:val="clear" w:color="auto" w:fill="auto"/>
            <w:noWrap/>
            <w:vAlign w:val="center"/>
            <w:hideMark/>
          </w:tcPr>
          <w:p w14:paraId="2052F6A7"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D4</w:t>
            </w:r>
            <w:r w:rsidR="002D6A47" w:rsidRPr="004459F3">
              <w:rPr>
                <w:rFonts w:ascii="Calibri" w:hAnsi="Calibri" w:cs="Calibri"/>
                <w:color w:val="000000"/>
                <w:sz w:val="20"/>
                <w:szCs w:val="20"/>
              </w:rPr>
              <w:t>8</w:t>
            </w:r>
          </w:p>
        </w:tc>
        <w:tc>
          <w:tcPr>
            <w:tcW w:w="1474" w:type="dxa"/>
            <w:tcBorders>
              <w:bottom w:val="single" w:sz="8" w:space="0" w:color="auto"/>
            </w:tcBorders>
            <w:vAlign w:val="center"/>
          </w:tcPr>
          <w:p w14:paraId="29CD1FCA"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Frýdek-Místek</w:t>
            </w:r>
          </w:p>
        </w:tc>
        <w:tc>
          <w:tcPr>
            <w:tcW w:w="1020" w:type="dxa"/>
            <w:tcBorders>
              <w:bottom w:val="single" w:sz="8" w:space="0" w:color="auto"/>
            </w:tcBorders>
            <w:vAlign w:val="center"/>
          </w:tcPr>
          <w:p w14:paraId="3D4947EC" w14:textId="77777777" w:rsidR="004D7FD4" w:rsidRPr="004459F3" w:rsidRDefault="004D7FD4" w:rsidP="00055D20">
            <w:pPr>
              <w:spacing w:after="0" w:line="252" w:lineRule="auto"/>
              <w:jc w:val="center"/>
              <w:rPr>
                <w:rFonts w:ascii="Calibri" w:hAnsi="Calibri" w:cs="Calibri"/>
                <w:color w:val="000000"/>
                <w:sz w:val="20"/>
                <w:szCs w:val="20"/>
              </w:rPr>
            </w:pPr>
            <w:r w:rsidRPr="004459F3">
              <w:rPr>
                <w:rFonts w:ascii="Calibri" w:hAnsi="Calibri" w:cs="Calibri"/>
                <w:color w:val="000000"/>
                <w:sz w:val="20"/>
                <w:szCs w:val="20"/>
              </w:rPr>
              <w:t>09/2023</w:t>
            </w:r>
          </w:p>
        </w:tc>
        <w:tc>
          <w:tcPr>
            <w:tcW w:w="1134" w:type="dxa"/>
            <w:tcBorders>
              <w:bottom w:val="single" w:sz="8" w:space="0" w:color="auto"/>
            </w:tcBorders>
            <w:shd w:val="clear" w:color="auto" w:fill="auto"/>
            <w:noWrap/>
            <w:vAlign w:val="center"/>
          </w:tcPr>
          <w:p w14:paraId="3F5903C6"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bottom w:val="single" w:sz="8" w:space="0" w:color="auto"/>
            </w:tcBorders>
            <w:vAlign w:val="center"/>
          </w:tcPr>
          <w:p w14:paraId="54F29101"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bottom w:val="single" w:sz="8" w:space="0" w:color="auto"/>
            </w:tcBorders>
            <w:vAlign w:val="center"/>
          </w:tcPr>
          <w:p w14:paraId="78B1B78A"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0</w:t>
            </w:r>
          </w:p>
        </w:tc>
        <w:tc>
          <w:tcPr>
            <w:tcW w:w="1134" w:type="dxa"/>
            <w:tcBorders>
              <w:bottom w:val="single" w:sz="8" w:space="0" w:color="auto"/>
            </w:tcBorders>
            <w:vAlign w:val="center"/>
          </w:tcPr>
          <w:p w14:paraId="54DB23B7"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96,20</w:t>
            </w:r>
          </w:p>
        </w:tc>
        <w:tc>
          <w:tcPr>
            <w:tcW w:w="1134" w:type="dxa"/>
            <w:tcBorders>
              <w:bottom w:val="single" w:sz="8" w:space="0" w:color="auto"/>
              <w:right w:val="single" w:sz="8" w:space="0" w:color="auto"/>
            </w:tcBorders>
            <w:vAlign w:val="center"/>
          </w:tcPr>
          <w:p w14:paraId="75F6039C" w14:textId="77777777" w:rsidR="004D7FD4" w:rsidRPr="004459F3" w:rsidRDefault="004D7FD4" w:rsidP="004459F3">
            <w:pPr>
              <w:spacing w:after="0" w:line="252" w:lineRule="auto"/>
              <w:jc w:val="right"/>
              <w:rPr>
                <w:rFonts w:ascii="Calibri" w:hAnsi="Calibri" w:cs="Calibri"/>
                <w:color w:val="000000"/>
                <w:sz w:val="20"/>
                <w:szCs w:val="20"/>
              </w:rPr>
            </w:pPr>
            <w:r w:rsidRPr="004459F3">
              <w:rPr>
                <w:rFonts w:ascii="Calibri" w:hAnsi="Calibri" w:cs="Calibri"/>
                <w:color w:val="000000"/>
                <w:sz w:val="20"/>
                <w:szCs w:val="20"/>
              </w:rPr>
              <w:t>96,20</w:t>
            </w:r>
          </w:p>
        </w:tc>
      </w:tr>
      <w:tr w:rsidR="00245A45" w:rsidRPr="00447172" w14:paraId="5652B910" w14:textId="77777777" w:rsidTr="004459F3">
        <w:trPr>
          <w:trHeight w:val="340"/>
        </w:trPr>
        <w:tc>
          <w:tcPr>
            <w:tcW w:w="3402" w:type="dxa"/>
            <w:gridSpan w:val="3"/>
            <w:tcBorders>
              <w:top w:val="single" w:sz="8" w:space="0" w:color="auto"/>
              <w:left w:val="single" w:sz="8" w:space="0" w:color="auto"/>
              <w:bottom w:val="single" w:sz="8" w:space="0" w:color="auto"/>
            </w:tcBorders>
            <w:shd w:val="clear" w:color="auto" w:fill="auto"/>
            <w:noWrap/>
            <w:vAlign w:val="center"/>
          </w:tcPr>
          <w:p w14:paraId="5946BB39" w14:textId="77777777" w:rsidR="00245A45" w:rsidRPr="004459F3" w:rsidRDefault="00245A45" w:rsidP="004459F3">
            <w:pPr>
              <w:spacing w:after="0" w:line="252" w:lineRule="auto"/>
              <w:ind w:right="170"/>
              <w:jc w:val="right"/>
              <w:rPr>
                <w:rFonts w:ascii="Calibri" w:hAnsi="Calibri" w:cs="Calibri"/>
                <w:color w:val="000000"/>
                <w:sz w:val="20"/>
                <w:szCs w:val="20"/>
              </w:rPr>
            </w:pPr>
            <w:r w:rsidRPr="004459F3">
              <w:rPr>
                <w:rFonts w:ascii="Calibri" w:hAnsi="Calibri" w:cs="Calibri"/>
                <w:b/>
                <w:color w:val="000000"/>
                <w:sz w:val="20"/>
                <w:szCs w:val="20"/>
              </w:rPr>
              <w:t>Celkem</w:t>
            </w:r>
          </w:p>
        </w:tc>
        <w:tc>
          <w:tcPr>
            <w:tcW w:w="1134" w:type="dxa"/>
            <w:tcBorders>
              <w:top w:val="single" w:sz="8" w:space="0" w:color="auto"/>
              <w:bottom w:val="single" w:sz="8" w:space="0" w:color="auto"/>
            </w:tcBorders>
            <w:shd w:val="clear" w:color="auto" w:fill="auto"/>
            <w:noWrap/>
            <w:vAlign w:val="center"/>
          </w:tcPr>
          <w:p w14:paraId="09894F0E" w14:textId="77777777" w:rsidR="00245A45" w:rsidRPr="004459F3" w:rsidRDefault="00245A45" w:rsidP="004459F3">
            <w:pPr>
              <w:spacing w:after="0" w:line="252" w:lineRule="auto"/>
              <w:jc w:val="right"/>
              <w:rPr>
                <w:rFonts w:ascii="Calibri" w:hAnsi="Calibri" w:cs="Calibri"/>
                <w:b/>
                <w:color w:val="000000"/>
                <w:sz w:val="20"/>
                <w:szCs w:val="20"/>
              </w:rPr>
            </w:pPr>
            <w:r w:rsidRPr="004459F3">
              <w:rPr>
                <w:rFonts w:ascii="Calibri" w:hAnsi="Calibri" w:cs="Calibri"/>
                <w:b/>
                <w:color w:val="000000"/>
                <w:sz w:val="20"/>
                <w:szCs w:val="20"/>
              </w:rPr>
              <w:t>162,00</w:t>
            </w:r>
          </w:p>
        </w:tc>
        <w:tc>
          <w:tcPr>
            <w:tcW w:w="1134" w:type="dxa"/>
            <w:tcBorders>
              <w:top w:val="single" w:sz="8" w:space="0" w:color="auto"/>
              <w:bottom w:val="single" w:sz="8" w:space="0" w:color="auto"/>
            </w:tcBorders>
            <w:vAlign w:val="center"/>
          </w:tcPr>
          <w:p w14:paraId="73AA7B4A" w14:textId="77777777" w:rsidR="00245A45" w:rsidRPr="004459F3" w:rsidRDefault="00245A45" w:rsidP="004459F3">
            <w:pPr>
              <w:spacing w:after="0" w:line="252" w:lineRule="auto"/>
              <w:jc w:val="right"/>
              <w:rPr>
                <w:rFonts w:ascii="Calibri" w:hAnsi="Calibri" w:cs="Calibri"/>
                <w:b/>
                <w:color w:val="000000"/>
                <w:sz w:val="20"/>
                <w:szCs w:val="20"/>
              </w:rPr>
            </w:pPr>
            <w:r w:rsidRPr="004459F3">
              <w:rPr>
                <w:rFonts w:ascii="Calibri" w:hAnsi="Calibri" w:cs="Calibri"/>
                <w:b/>
                <w:sz w:val="20"/>
                <w:szCs w:val="20"/>
              </w:rPr>
              <w:t>2 383,80</w:t>
            </w:r>
          </w:p>
        </w:tc>
        <w:tc>
          <w:tcPr>
            <w:tcW w:w="1134" w:type="dxa"/>
            <w:tcBorders>
              <w:top w:val="single" w:sz="8" w:space="0" w:color="auto"/>
              <w:bottom w:val="single" w:sz="8" w:space="0" w:color="auto"/>
            </w:tcBorders>
            <w:vAlign w:val="center"/>
          </w:tcPr>
          <w:p w14:paraId="6E48B05A" w14:textId="77777777" w:rsidR="00245A45" w:rsidRPr="004459F3" w:rsidRDefault="00245A45" w:rsidP="004459F3">
            <w:pPr>
              <w:spacing w:after="0" w:line="252" w:lineRule="auto"/>
              <w:jc w:val="right"/>
              <w:rPr>
                <w:rFonts w:ascii="Calibri" w:hAnsi="Calibri" w:cs="Calibri"/>
                <w:b/>
                <w:color w:val="000000"/>
                <w:sz w:val="20"/>
                <w:szCs w:val="20"/>
              </w:rPr>
            </w:pPr>
            <w:r w:rsidRPr="004459F3">
              <w:rPr>
                <w:rFonts w:ascii="Calibri" w:hAnsi="Calibri" w:cs="Calibri"/>
                <w:b/>
                <w:sz w:val="20"/>
                <w:szCs w:val="20"/>
              </w:rPr>
              <w:t>12 496,20</w:t>
            </w:r>
          </w:p>
        </w:tc>
        <w:tc>
          <w:tcPr>
            <w:tcW w:w="1134" w:type="dxa"/>
            <w:tcBorders>
              <w:top w:val="single" w:sz="8" w:space="0" w:color="auto"/>
              <w:bottom w:val="single" w:sz="8" w:space="0" w:color="auto"/>
            </w:tcBorders>
            <w:vAlign w:val="center"/>
          </w:tcPr>
          <w:p w14:paraId="75A2713E" w14:textId="77777777" w:rsidR="00245A45" w:rsidRPr="004459F3" w:rsidRDefault="00245A45" w:rsidP="004459F3">
            <w:pPr>
              <w:spacing w:after="0" w:line="252" w:lineRule="auto"/>
              <w:jc w:val="right"/>
              <w:rPr>
                <w:rFonts w:ascii="Calibri" w:hAnsi="Calibri" w:cs="Calibri"/>
                <w:b/>
                <w:color w:val="000000"/>
                <w:sz w:val="20"/>
                <w:szCs w:val="20"/>
              </w:rPr>
            </w:pPr>
            <w:r w:rsidRPr="004459F3">
              <w:rPr>
                <w:rFonts w:ascii="Calibri" w:hAnsi="Calibri" w:cs="Calibri"/>
                <w:b/>
                <w:sz w:val="20"/>
                <w:szCs w:val="20"/>
              </w:rPr>
              <w:t>6 089,70</w:t>
            </w:r>
          </w:p>
        </w:tc>
        <w:tc>
          <w:tcPr>
            <w:tcW w:w="1134" w:type="dxa"/>
            <w:tcBorders>
              <w:top w:val="single" w:sz="8" w:space="0" w:color="auto"/>
              <w:bottom w:val="single" w:sz="8" w:space="0" w:color="auto"/>
              <w:right w:val="single" w:sz="8" w:space="0" w:color="auto"/>
            </w:tcBorders>
            <w:vAlign w:val="center"/>
          </w:tcPr>
          <w:p w14:paraId="73DF3DCC" w14:textId="77777777" w:rsidR="00245A45" w:rsidRPr="004459F3" w:rsidRDefault="00245A45" w:rsidP="004459F3">
            <w:pPr>
              <w:spacing w:after="0" w:line="252" w:lineRule="auto"/>
              <w:jc w:val="right"/>
              <w:rPr>
                <w:rFonts w:ascii="Calibri" w:hAnsi="Calibri" w:cs="Calibri"/>
                <w:b/>
                <w:sz w:val="20"/>
                <w:szCs w:val="20"/>
              </w:rPr>
            </w:pPr>
            <w:r w:rsidRPr="004459F3">
              <w:rPr>
                <w:rFonts w:ascii="Calibri" w:hAnsi="Calibri" w:cs="Calibri"/>
                <w:b/>
                <w:sz w:val="20"/>
                <w:szCs w:val="20"/>
              </w:rPr>
              <w:t>21 131,70</w:t>
            </w:r>
          </w:p>
        </w:tc>
      </w:tr>
    </w:tbl>
    <w:p w14:paraId="635D0172" w14:textId="635D2501" w:rsidR="005C6165" w:rsidRDefault="005C6165" w:rsidP="004459F3">
      <w:pPr>
        <w:spacing w:after="0" w:line="252" w:lineRule="auto"/>
        <w:contextualSpacing/>
        <w:rPr>
          <w:rFonts w:cstheme="minorHAnsi"/>
          <w:sz w:val="20"/>
          <w:szCs w:val="20"/>
        </w:rPr>
      </w:pPr>
      <w:r w:rsidRPr="004459F3">
        <w:rPr>
          <w:rFonts w:cstheme="minorHAnsi"/>
          <w:b/>
          <w:bCs/>
          <w:sz w:val="20"/>
          <w:szCs w:val="20"/>
        </w:rPr>
        <w:t>Zdroj:</w:t>
      </w:r>
      <w:r>
        <w:rPr>
          <w:rFonts w:cstheme="minorHAnsi"/>
          <w:sz w:val="20"/>
          <w:szCs w:val="20"/>
        </w:rPr>
        <w:t xml:space="preserve"> SFDI</w:t>
      </w:r>
      <w:r w:rsidR="00055D20">
        <w:rPr>
          <w:rFonts w:cstheme="minorHAnsi"/>
          <w:sz w:val="20"/>
          <w:szCs w:val="20"/>
        </w:rPr>
        <w:t>.</w:t>
      </w:r>
    </w:p>
    <w:p w14:paraId="020D4FDB" w14:textId="450C1257" w:rsidR="005C6165" w:rsidRDefault="005C6165" w:rsidP="005C6165">
      <w:pPr>
        <w:spacing w:after="0" w:line="252" w:lineRule="auto"/>
        <w:contextualSpacing/>
        <w:rPr>
          <w:rFonts w:cstheme="minorHAnsi"/>
          <w:sz w:val="20"/>
          <w:szCs w:val="20"/>
        </w:rPr>
      </w:pPr>
      <w:r w:rsidRPr="00654DA2">
        <w:rPr>
          <w:rFonts w:cstheme="minorHAnsi"/>
          <w:sz w:val="20"/>
          <w:szCs w:val="20"/>
        </w:rPr>
        <w:t>* Údaje k 30. 9. 20</w:t>
      </w:r>
      <w:r>
        <w:rPr>
          <w:rFonts w:cstheme="minorHAnsi"/>
          <w:sz w:val="20"/>
          <w:szCs w:val="20"/>
        </w:rPr>
        <w:t>24.</w:t>
      </w:r>
    </w:p>
    <w:p w14:paraId="158625D7" w14:textId="7B287203" w:rsidR="00A60493" w:rsidRPr="00654DA2" w:rsidRDefault="00A60493" w:rsidP="00A60493">
      <w:pPr>
        <w:spacing w:after="0" w:line="252" w:lineRule="auto"/>
        <w:contextualSpacing/>
        <w:jc w:val="both"/>
        <w:rPr>
          <w:rFonts w:cstheme="minorHAnsi"/>
          <w:sz w:val="20"/>
          <w:szCs w:val="20"/>
        </w:rPr>
      </w:pPr>
    </w:p>
    <w:p w14:paraId="31AF7E25" w14:textId="59D40C80" w:rsidR="00245A45" w:rsidRPr="00D84469" w:rsidRDefault="00FF1C2D" w:rsidP="00245A45">
      <w:pPr>
        <w:spacing w:after="0"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48 </w:t>
      </w:r>
      <w:r w:rsidR="004D7FD4">
        <w:rPr>
          <w:rFonts w:cstheme="minorHAnsi"/>
          <w:sz w:val="24"/>
          <w:szCs w:val="24"/>
        </w:rPr>
        <w:t>V</w:t>
      </w:r>
      <w:r w:rsidR="004D7FD4" w:rsidRPr="00D84469">
        <w:rPr>
          <w:rFonts w:cstheme="minorHAnsi"/>
          <w:sz w:val="24"/>
          <w:szCs w:val="24"/>
        </w:rPr>
        <w:t xml:space="preserve">ýše pokut </w:t>
      </w:r>
      <w:r w:rsidR="004D7FD4">
        <w:rPr>
          <w:rFonts w:cstheme="minorHAnsi"/>
          <w:sz w:val="24"/>
          <w:szCs w:val="24"/>
        </w:rPr>
        <w:t xml:space="preserve">z kontrolního vážení </w:t>
      </w:r>
      <w:r w:rsidR="004D7FD4" w:rsidRPr="00D84469">
        <w:rPr>
          <w:rFonts w:cstheme="minorHAnsi"/>
          <w:sz w:val="24"/>
          <w:szCs w:val="24"/>
        </w:rPr>
        <w:t>nemůže být jediným měřítkem účelnosti a efektivnosti systému VKV</w:t>
      </w:r>
      <w:r w:rsidR="004D7FD4">
        <w:rPr>
          <w:rFonts w:cstheme="minorHAnsi"/>
          <w:sz w:val="24"/>
          <w:szCs w:val="24"/>
        </w:rPr>
        <w:t>. J</w:t>
      </w:r>
      <w:r w:rsidR="004D7FD4" w:rsidRPr="00D84469">
        <w:rPr>
          <w:rFonts w:cstheme="minorHAnsi"/>
          <w:sz w:val="24"/>
          <w:szCs w:val="24"/>
        </w:rPr>
        <w:t xml:space="preserve">ejich nízký objem </w:t>
      </w:r>
      <w:r w:rsidR="00CA1180">
        <w:rPr>
          <w:rFonts w:cstheme="minorHAnsi"/>
          <w:sz w:val="24"/>
          <w:szCs w:val="24"/>
        </w:rPr>
        <w:t>ale</w:t>
      </w:r>
      <w:r w:rsidR="004D7FD4">
        <w:rPr>
          <w:rFonts w:cstheme="minorHAnsi"/>
          <w:sz w:val="24"/>
          <w:szCs w:val="24"/>
        </w:rPr>
        <w:t xml:space="preserve"> </w:t>
      </w:r>
      <w:r w:rsidR="004D7FD4" w:rsidRPr="00D84469">
        <w:rPr>
          <w:rFonts w:cstheme="minorHAnsi"/>
          <w:sz w:val="24"/>
          <w:szCs w:val="24"/>
        </w:rPr>
        <w:t xml:space="preserve">svědčí o </w:t>
      </w:r>
      <w:r w:rsidR="004D7FD4">
        <w:rPr>
          <w:rFonts w:cstheme="minorHAnsi"/>
          <w:sz w:val="24"/>
          <w:szCs w:val="24"/>
        </w:rPr>
        <w:t>tom, že r</w:t>
      </w:r>
      <w:r w:rsidR="004D7FD4" w:rsidRPr="00D84469">
        <w:rPr>
          <w:rFonts w:cstheme="minorHAnsi"/>
          <w:sz w:val="24"/>
          <w:szCs w:val="24"/>
        </w:rPr>
        <w:t>epresivní funk</w:t>
      </w:r>
      <w:r w:rsidR="004D7FD4">
        <w:rPr>
          <w:rFonts w:cstheme="minorHAnsi"/>
          <w:sz w:val="24"/>
          <w:szCs w:val="24"/>
        </w:rPr>
        <w:t>ce</w:t>
      </w:r>
      <w:r w:rsidR="004D7FD4" w:rsidRPr="00D84469">
        <w:rPr>
          <w:rFonts w:cstheme="minorHAnsi"/>
          <w:sz w:val="24"/>
          <w:szCs w:val="24"/>
        </w:rPr>
        <w:t xml:space="preserve"> </w:t>
      </w:r>
      <w:r w:rsidR="004D7FD4">
        <w:rPr>
          <w:rFonts w:cstheme="minorHAnsi"/>
          <w:sz w:val="24"/>
          <w:szCs w:val="24"/>
        </w:rPr>
        <w:t>VKV</w:t>
      </w:r>
      <w:r w:rsidR="004D7FD4" w:rsidRPr="00D84469">
        <w:rPr>
          <w:rFonts w:cstheme="minorHAnsi"/>
          <w:sz w:val="24"/>
          <w:szCs w:val="24"/>
        </w:rPr>
        <w:t xml:space="preserve"> v jeho stávající podobě</w:t>
      </w:r>
      <w:r w:rsidR="004D7FD4">
        <w:rPr>
          <w:rFonts w:cstheme="minorHAnsi"/>
          <w:sz w:val="24"/>
          <w:szCs w:val="24"/>
        </w:rPr>
        <w:t xml:space="preserve"> je velmi omezená</w:t>
      </w:r>
      <w:r w:rsidR="004D7FD4" w:rsidRPr="00D84469">
        <w:rPr>
          <w:rFonts w:cstheme="minorHAnsi"/>
          <w:sz w:val="24"/>
          <w:szCs w:val="24"/>
        </w:rPr>
        <w:t>.</w:t>
      </w:r>
      <w:r w:rsidR="00C1024C">
        <w:rPr>
          <w:rFonts w:cstheme="minorHAnsi"/>
          <w:sz w:val="24"/>
          <w:szCs w:val="24"/>
        </w:rPr>
        <w:t xml:space="preserve"> NKÚ dále zjistil, že</w:t>
      </w:r>
      <w:r w:rsidR="004D7FD4">
        <w:rPr>
          <w:rFonts w:cstheme="minorHAnsi"/>
          <w:sz w:val="24"/>
          <w:szCs w:val="24"/>
        </w:rPr>
        <w:t xml:space="preserve"> </w:t>
      </w:r>
      <w:r w:rsidR="00245A45" w:rsidRPr="00D84469">
        <w:rPr>
          <w:rFonts w:cstheme="minorHAnsi"/>
          <w:sz w:val="24"/>
          <w:szCs w:val="24"/>
        </w:rPr>
        <w:t>SFDI nemá k dispozici informace, které by mu umožnily strukturu pokut z kontrolního vážení analyzovat</w:t>
      </w:r>
      <w:r w:rsidR="00310EB2">
        <w:rPr>
          <w:rFonts w:cstheme="minorHAnsi"/>
          <w:sz w:val="24"/>
          <w:szCs w:val="24"/>
        </w:rPr>
        <w:t>. Nemůže</w:t>
      </w:r>
      <w:r w:rsidR="00245A45" w:rsidRPr="00D84469">
        <w:rPr>
          <w:rFonts w:cstheme="minorHAnsi"/>
          <w:sz w:val="24"/>
          <w:szCs w:val="24"/>
        </w:rPr>
        <w:t xml:space="preserve"> ověřit, že mu podíly z těchto pokut byly zaslány v takové výši, která mu dle zákona náležela, a nemá ani zákonné oprávnění tyto údaje vyžadovat. Výš</w:t>
      </w:r>
      <w:r w:rsidR="004018C0">
        <w:rPr>
          <w:rFonts w:cstheme="minorHAnsi"/>
          <w:sz w:val="24"/>
          <w:szCs w:val="24"/>
        </w:rPr>
        <w:t>i</w:t>
      </w:r>
      <w:r w:rsidR="00245A45" w:rsidRPr="00D84469">
        <w:rPr>
          <w:rFonts w:cstheme="minorHAnsi"/>
          <w:sz w:val="24"/>
          <w:szCs w:val="24"/>
        </w:rPr>
        <w:t xml:space="preserve"> příjmů z pokut z kontrolního </w:t>
      </w:r>
      <w:r w:rsidR="00245A45" w:rsidRPr="00A83EFC">
        <w:rPr>
          <w:rFonts w:cstheme="minorHAnsi"/>
          <w:sz w:val="24"/>
          <w:szCs w:val="24"/>
        </w:rPr>
        <w:t xml:space="preserve">vážení SFDI ani MD </w:t>
      </w:r>
      <w:r w:rsidR="00C1024C" w:rsidRPr="00A83EFC">
        <w:rPr>
          <w:rFonts w:cstheme="minorHAnsi"/>
          <w:sz w:val="24"/>
          <w:szCs w:val="24"/>
        </w:rPr>
        <w:t xml:space="preserve">nijak </w:t>
      </w:r>
      <w:r w:rsidR="00245A45" w:rsidRPr="00A83EFC">
        <w:rPr>
          <w:rFonts w:cstheme="minorHAnsi"/>
          <w:sz w:val="24"/>
          <w:szCs w:val="24"/>
        </w:rPr>
        <w:t>nevyhodnocovaly.</w:t>
      </w:r>
    </w:p>
    <w:p w14:paraId="1A4443AA" w14:textId="77777777" w:rsidR="005C6165" w:rsidRDefault="005C6165" w:rsidP="00325F12">
      <w:pPr>
        <w:spacing w:after="0" w:line="252" w:lineRule="auto"/>
        <w:contextualSpacing/>
        <w:rPr>
          <w:rFonts w:eastAsia="Calibri" w:cstheme="minorHAnsi"/>
          <w:b/>
          <w:i/>
          <w:color w:val="4472C4" w:themeColor="accent5"/>
          <w:sz w:val="24"/>
          <w:szCs w:val="24"/>
        </w:rPr>
      </w:pPr>
    </w:p>
    <w:p w14:paraId="3EA01155" w14:textId="77777777" w:rsidR="00325F12" w:rsidRPr="002C4E3B" w:rsidRDefault="00325F12" w:rsidP="004A60EB">
      <w:pPr>
        <w:pStyle w:val="Odstavecseseznamem"/>
        <w:numPr>
          <w:ilvl w:val="0"/>
          <w:numId w:val="37"/>
        </w:numPr>
        <w:spacing w:after="0" w:line="252" w:lineRule="auto"/>
        <w:jc w:val="both"/>
        <w:rPr>
          <w:rFonts w:eastAsia="Calibri" w:cstheme="minorHAnsi"/>
          <w:b/>
          <w:i/>
          <w:color w:val="4472C4" w:themeColor="accent5"/>
          <w:sz w:val="24"/>
          <w:szCs w:val="24"/>
        </w:rPr>
      </w:pPr>
      <w:r w:rsidRPr="002C4E3B">
        <w:rPr>
          <w:rFonts w:eastAsia="Calibri" w:cstheme="minorHAnsi"/>
          <w:b/>
          <w:i/>
          <w:color w:val="4472C4" w:themeColor="accent5"/>
          <w:sz w:val="24"/>
          <w:szCs w:val="24"/>
        </w:rPr>
        <w:t xml:space="preserve">Provádění NKV </w:t>
      </w:r>
      <w:r w:rsidR="00DB0D0E">
        <w:rPr>
          <w:rFonts w:eastAsia="Calibri" w:cstheme="minorHAnsi"/>
          <w:b/>
          <w:i/>
          <w:color w:val="4472C4" w:themeColor="accent5"/>
          <w:sz w:val="24"/>
          <w:szCs w:val="24"/>
        </w:rPr>
        <w:t>bylo</w:t>
      </w:r>
      <w:r w:rsidRPr="002C4E3B">
        <w:rPr>
          <w:rFonts w:eastAsia="Calibri" w:cstheme="minorHAnsi"/>
          <w:b/>
          <w:i/>
          <w:color w:val="4472C4" w:themeColor="accent5"/>
          <w:sz w:val="24"/>
          <w:szCs w:val="24"/>
        </w:rPr>
        <w:t xml:space="preserve"> komplikované, kontrol </w:t>
      </w:r>
      <w:r w:rsidR="00DB0D0E">
        <w:rPr>
          <w:rFonts w:eastAsia="Calibri" w:cstheme="minorHAnsi"/>
          <w:b/>
          <w:i/>
          <w:color w:val="4472C4" w:themeColor="accent5"/>
          <w:sz w:val="24"/>
          <w:szCs w:val="24"/>
        </w:rPr>
        <w:t xml:space="preserve">bylo </w:t>
      </w:r>
      <w:r w:rsidRPr="002C4E3B">
        <w:rPr>
          <w:rFonts w:eastAsia="Calibri" w:cstheme="minorHAnsi"/>
          <w:b/>
          <w:i/>
          <w:color w:val="4472C4" w:themeColor="accent5"/>
          <w:sz w:val="24"/>
          <w:szCs w:val="24"/>
        </w:rPr>
        <w:t>málo</w:t>
      </w:r>
      <w:r w:rsidR="00CE104C">
        <w:rPr>
          <w:rFonts w:eastAsia="Calibri" w:cstheme="minorHAnsi"/>
          <w:b/>
          <w:i/>
          <w:color w:val="4472C4" w:themeColor="accent5"/>
          <w:sz w:val="24"/>
          <w:szCs w:val="24"/>
        </w:rPr>
        <w:t>.</w:t>
      </w:r>
    </w:p>
    <w:p w14:paraId="1DC5B76F" w14:textId="77777777" w:rsidR="009E7CE3" w:rsidRPr="003A2119" w:rsidRDefault="009E7CE3" w:rsidP="003A2119">
      <w:pPr>
        <w:spacing w:after="0" w:line="252" w:lineRule="auto"/>
        <w:contextualSpacing/>
        <w:rPr>
          <w:rFonts w:eastAsia="Calibri" w:cstheme="minorHAnsi"/>
          <w:sz w:val="24"/>
          <w:szCs w:val="24"/>
        </w:rPr>
      </w:pPr>
    </w:p>
    <w:p w14:paraId="451AD0BA" w14:textId="59AAD832" w:rsidR="003A2119" w:rsidRDefault="00FF1C2D" w:rsidP="00CA1180">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49 </w:t>
      </w:r>
      <w:r w:rsidR="0035026A" w:rsidRPr="003A2119">
        <w:rPr>
          <w:rFonts w:eastAsia="Calibri" w:cstheme="minorHAnsi"/>
          <w:sz w:val="24"/>
          <w:szCs w:val="24"/>
        </w:rPr>
        <w:t xml:space="preserve">NKÚ zjišťoval, jakým způsobem MD zajistilo provádění NKV </w:t>
      </w:r>
      <w:r w:rsidR="0035026A">
        <w:rPr>
          <w:rFonts w:eastAsia="Calibri" w:cstheme="minorHAnsi"/>
          <w:sz w:val="24"/>
          <w:szCs w:val="24"/>
        </w:rPr>
        <w:t>a jeho optimalizaci tak, aby tento systém plnil úkoly, k nimž byl určen. NKÚ zároveň vyhodnocoval úroveň spolupráce subjektů, které se na provozu tohoto systému podíl</w:t>
      </w:r>
      <w:r w:rsidR="00136633">
        <w:rPr>
          <w:rFonts w:eastAsia="Calibri" w:cstheme="minorHAnsi"/>
          <w:sz w:val="24"/>
          <w:szCs w:val="24"/>
        </w:rPr>
        <w:t>ely</w:t>
      </w:r>
      <w:r w:rsidR="003A2119">
        <w:rPr>
          <w:rFonts w:eastAsia="Calibri" w:cstheme="minorHAnsi"/>
          <w:sz w:val="24"/>
          <w:szCs w:val="24"/>
        </w:rPr>
        <w:t xml:space="preserve">, a </w:t>
      </w:r>
      <w:r w:rsidR="00055D20">
        <w:rPr>
          <w:rFonts w:eastAsia="Calibri" w:cstheme="minorHAnsi"/>
          <w:sz w:val="24"/>
          <w:szCs w:val="24"/>
        </w:rPr>
        <w:t>zhodnotil také</w:t>
      </w:r>
      <w:r w:rsidR="003A2119">
        <w:rPr>
          <w:rFonts w:eastAsia="Calibri" w:cstheme="minorHAnsi"/>
          <w:sz w:val="24"/>
          <w:szCs w:val="24"/>
        </w:rPr>
        <w:t xml:space="preserve"> dosažené výsledky NKV.</w:t>
      </w:r>
    </w:p>
    <w:p w14:paraId="30C63A46" w14:textId="77777777" w:rsidR="003A2119" w:rsidRPr="003A2119" w:rsidRDefault="003A2119" w:rsidP="003A2119">
      <w:pPr>
        <w:spacing w:after="0" w:line="252" w:lineRule="auto"/>
        <w:contextualSpacing/>
        <w:rPr>
          <w:rFonts w:eastAsia="Calibri" w:cstheme="minorHAnsi"/>
          <w:sz w:val="24"/>
          <w:szCs w:val="24"/>
        </w:rPr>
      </w:pPr>
    </w:p>
    <w:p w14:paraId="3FB66CF1" w14:textId="26A27D03" w:rsidR="006F4E28" w:rsidRDefault="00FF1C2D" w:rsidP="003A2119">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50 </w:t>
      </w:r>
      <w:r w:rsidR="003A2119">
        <w:rPr>
          <w:rFonts w:eastAsia="Calibri" w:cstheme="minorHAnsi"/>
          <w:sz w:val="24"/>
          <w:szCs w:val="24"/>
        </w:rPr>
        <w:t>Prováděním NKV MD pověřilo ŘSD, které ale v</w:t>
      </w:r>
      <w:r w:rsidR="002C18EE">
        <w:rPr>
          <w:rFonts w:eastAsia="Calibri" w:cstheme="minorHAnsi"/>
          <w:sz w:val="24"/>
          <w:szCs w:val="24"/>
        </w:rPr>
        <w:t xml:space="preserve"> </w:t>
      </w:r>
      <w:r w:rsidR="003A2119">
        <w:rPr>
          <w:rFonts w:eastAsia="Calibri" w:cstheme="minorHAnsi"/>
          <w:sz w:val="24"/>
          <w:szCs w:val="24"/>
        </w:rPr>
        <w:t>této oblasti působ</w:t>
      </w:r>
      <w:r w:rsidR="006F4E28">
        <w:rPr>
          <w:rFonts w:eastAsia="Calibri" w:cstheme="minorHAnsi"/>
          <w:sz w:val="24"/>
          <w:szCs w:val="24"/>
        </w:rPr>
        <w:t>ilo</w:t>
      </w:r>
      <w:r w:rsidR="003A2119">
        <w:rPr>
          <w:rFonts w:eastAsia="Calibri" w:cstheme="minorHAnsi"/>
          <w:sz w:val="24"/>
          <w:szCs w:val="24"/>
        </w:rPr>
        <w:t xml:space="preserve"> jen jako zprostředkovatel. </w:t>
      </w:r>
      <w:r w:rsidR="006F4E28">
        <w:rPr>
          <w:rFonts w:eastAsia="Calibri" w:cstheme="minorHAnsi"/>
          <w:sz w:val="24"/>
          <w:szCs w:val="24"/>
        </w:rPr>
        <w:t xml:space="preserve">Nedisponovalo totiž materiálně-technickým vybavením, které by mu umožnilo NKV provádět. </w:t>
      </w:r>
      <w:r w:rsidR="00F345D3" w:rsidRPr="003A2119">
        <w:rPr>
          <w:rFonts w:eastAsia="Calibri" w:cstheme="minorHAnsi"/>
          <w:sz w:val="24"/>
          <w:szCs w:val="24"/>
        </w:rPr>
        <w:t>Činnost</w:t>
      </w:r>
      <w:r w:rsidR="003A2119">
        <w:rPr>
          <w:rFonts w:eastAsia="Calibri" w:cstheme="minorHAnsi"/>
          <w:sz w:val="24"/>
          <w:szCs w:val="24"/>
        </w:rPr>
        <w:t xml:space="preserve">i </w:t>
      </w:r>
      <w:r w:rsidR="00F345D3" w:rsidRPr="003A2119">
        <w:rPr>
          <w:rFonts w:eastAsia="Calibri" w:cstheme="minorHAnsi"/>
          <w:sz w:val="24"/>
          <w:szCs w:val="24"/>
        </w:rPr>
        <w:t>související s</w:t>
      </w:r>
      <w:r w:rsidR="002C18EE">
        <w:rPr>
          <w:rFonts w:eastAsia="Calibri" w:cstheme="minorHAnsi"/>
          <w:sz w:val="24"/>
          <w:szCs w:val="24"/>
        </w:rPr>
        <w:t xml:space="preserve"> </w:t>
      </w:r>
      <w:r w:rsidR="00F345D3" w:rsidRPr="003A2119">
        <w:rPr>
          <w:rFonts w:eastAsia="Calibri" w:cstheme="minorHAnsi"/>
          <w:sz w:val="24"/>
          <w:szCs w:val="24"/>
        </w:rPr>
        <w:t xml:space="preserve">NKV </w:t>
      </w:r>
      <w:r w:rsidR="00055D20" w:rsidRPr="003A2119">
        <w:rPr>
          <w:rFonts w:eastAsia="Calibri" w:cstheme="minorHAnsi"/>
          <w:sz w:val="24"/>
          <w:szCs w:val="24"/>
        </w:rPr>
        <w:t>zajiš</w:t>
      </w:r>
      <w:r w:rsidR="00055D20">
        <w:rPr>
          <w:rFonts w:eastAsia="Calibri" w:cstheme="minorHAnsi"/>
          <w:sz w:val="24"/>
          <w:szCs w:val="24"/>
        </w:rPr>
        <w:t>ťovalo</w:t>
      </w:r>
      <w:r w:rsidR="00055D20" w:rsidRPr="003A2119">
        <w:rPr>
          <w:rFonts w:eastAsia="Calibri" w:cstheme="minorHAnsi"/>
          <w:sz w:val="24"/>
          <w:szCs w:val="24"/>
        </w:rPr>
        <w:t xml:space="preserve"> </w:t>
      </w:r>
      <w:r w:rsidR="00F345D3" w:rsidRPr="003A2119">
        <w:rPr>
          <w:rFonts w:eastAsia="Calibri" w:cstheme="minorHAnsi"/>
          <w:sz w:val="24"/>
          <w:szCs w:val="24"/>
        </w:rPr>
        <w:t>pro ŘSD na základě</w:t>
      </w:r>
      <w:r w:rsidR="006F4E28">
        <w:rPr>
          <w:rFonts w:eastAsia="Calibri" w:cstheme="minorHAnsi"/>
          <w:sz w:val="24"/>
          <w:szCs w:val="24"/>
        </w:rPr>
        <w:t xml:space="preserve"> dvou</w:t>
      </w:r>
      <w:r w:rsidR="00F345D3" w:rsidRPr="003A2119">
        <w:rPr>
          <w:rFonts w:eastAsia="Calibri" w:cstheme="minorHAnsi"/>
          <w:sz w:val="24"/>
          <w:szCs w:val="24"/>
        </w:rPr>
        <w:t xml:space="preserve"> příkazní</w:t>
      </w:r>
      <w:r w:rsidR="006F4E28">
        <w:rPr>
          <w:rFonts w:eastAsia="Calibri" w:cstheme="minorHAnsi"/>
          <w:sz w:val="24"/>
          <w:szCs w:val="24"/>
        </w:rPr>
        <w:t>ch</w:t>
      </w:r>
      <w:r w:rsidR="00F345D3" w:rsidRPr="003A2119">
        <w:rPr>
          <w:rFonts w:eastAsia="Calibri" w:cstheme="minorHAnsi"/>
          <w:sz w:val="24"/>
          <w:szCs w:val="24"/>
        </w:rPr>
        <w:t xml:space="preserve"> smluv CSPS</w:t>
      </w:r>
      <w:r w:rsidR="009E4DEE">
        <w:rPr>
          <w:rFonts w:eastAsia="Calibri" w:cstheme="minorHAnsi"/>
          <w:sz w:val="24"/>
          <w:szCs w:val="24"/>
        </w:rPr>
        <w:t>D</w:t>
      </w:r>
      <w:r w:rsidR="008B1F51" w:rsidRPr="003A2119">
        <w:rPr>
          <w:rFonts w:eastAsia="Calibri" w:cstheme="minorHAnsi"/>
          <w:sz w:val="24"/>
          <w:szCs w:val="24"/>
        </w:rPr>
        <w:t>.</w:t>
      </w:r>
      <w:r w:rsidR="002C4064">
        <w:rPr>
          <w:rFonts w:eastAsia="Calibri" w:cstheme="minorHAnsi"/>
          <w:sz w:val="24"/>
          <w:szCs w:val="24"/>
        </w:rPr>
        <w:t xml:space="preserve"> </w:t>
      </w:r>
      <w:r w:rsidR="002C4064" w:rsidRPr="002C4064">
        <w:rPr>
          <w:rFonts w:eastAsia="Calibri" w:cstheme="minorHAnsi"/>
          <w:sz w:val="24"/>
          <w:szCs w:val="24"/>
        </w:rPr>
        <w:t xml:space="preserve">Povinností ŘSD bylo CSPSD poskytnout k bezúplatnému využívání plochy vhodné pro provádění NKV, zejména plochy vybraných odpočívek a provozní plochy na střediscích správy a údržby dálnic. </w:t>
      </w:r>
      <w:r w:rsidR="009E4DEE">
        <w:rPr>
          <w:rFonts w:eastAsia="Calibri" w:cstheme="minorHAnsi"/>
          <w:sz w:val="24"/>
          <w:szCs w:val="24"/>
        </w:rPr>
        <w:t>Možnosti, jak mohlo ŘSD ovlivnit způsob provádění NKV, však byly omezené.</w:t>
      </w:r>
      <w:r w:rsidR="00F06DCD">
        <w:rPr>
          <w:rFonts w:eastAsia="Calibri" w:cstheme="minorHAnsi"/>
          <w:sz w:val="24"/>
          <w:szCs w:val="24"/>
        </w:rPr>
        <w:t xml:space="preserve"> </w:t>
      </w:r>
    </w:p>
    <w:p w14:paraId="547E2766" w14:textId="77777777" w:rsidR="00C33D4F" w:rsidRDefault="00C33D4F" w:rsidP="003A2119">
      <w:pPr>
        <w:spacing w:after="0" w:line="252" w:lineRule="auto"/>
        <w:contextualSpacing/>
        <w:jc w:val="both"/>
        <w:rPr>
          <w:rFonts w:eastAsia="Calibri" w:cstheme="minorHAnsi"/>
          <w:sz w:val="24"/>
          <w:szCs w:val="24"/>
        </w:rPr>
      </w:pPr>
    </w:p>
    <w:p w14:paraId="06BA69B2" w14:textId="53ACDB43" w:rsidR="00F06DCD" w:rsidRDefault="00FF1C2D" w:rsidP="003A2119">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51 </w:t>
      </w:r>
      <w:r w:rsidR="00A00605">
        <w:rPr>
          <w:rFonts w:eastAsia="Calibri" w:cstheme="minorHAnsi"/>
          <w:sz w:val="24"/>
          <w:szCs w:val="24"/>
        </w:rPr>
        <w:t>P</w:t>
      </w:r>
      <w:r w:rsidR="006F4E28" w:rsidRPr="003A2119">
        <w:rPr>
          <w:rFonts w:eastAsia="Calibri" w:cstheme="minorHAnsi"/>
          <w:sz w:val="24"/>
          <w:szCs w:val="24"/>
        </w:rPr>
        <w:t xml:space="preserve">říkazní </w:t>
      </w:r>
      <w:r w:rsidR="006F4E28">
        <w:rPr>
          <w:rFonts w:eastAsia="Calibri" w:cstheme="minorHAnsi"/>
          <w:sz w:val="24"/>
          <w:szCs w:val="24"/>
        </w:rPr>
        <w:t xml:space="preserve">smlouvy </w:t>
      </w:r>
      <w:r w:rsidR="00A00605">
        <w:rPr>
          <w:rFonts w:eastAsia="Calibri" w:cstheme="minorHAnsi"/>
          <w:sz w:val="24"/>
          <w:szCs w:val="24"/>
        </w:rPr>
        <w:t xml:space="preserve">například </w:t>
      </w:r>
      <w:r w:rsidR="006F4E28">
        <w:rPr>
          <w:rFonts w:eastAsia="Calibri" w:cstheme="minorHAnsi"/>
          <w:sz w:val="24"/>
          <w:szCs w:val="24"/>
        </w:rPr>
        <w:t xml:space="preserve">nestanovily místa ani minimální počty </w:t>
      </w:r>
      <w:r w:rsidR="00F06DCD">
        <w:rPr>
          <w:rFonts w:eastAsia="Calibri" w:cstheme="minorHAnsi"/>
          <w:sz w:val="24"/>
          <w:szCs w:val="24"/>
        </w:rPr>
        <w:t>NKV</w:t>
      </w:r>
      <w:r w:rsidR="00253442">
        <w:rPr>
          <w:rFonts w:eastAsia="Calibri" w:cstheme="minorHAnsi"/>
          <w:sz w:val="24"/>
          <w:szCs w:val="24"/>
        </w:rPr>
        <w:t xml:space="preserve"> a neobsahovaly </w:t>
      </w:r>
      <w:r w:rsidR="006F4E28">
        <w:rPr>
          <w:rFonts w:eastAsia="Calibri" w:cstheme="minorHAnsi"/>
          <w:sz w:val="24"/>
          <w:szCs w:val="24"/>
        </w:rPr>
        <w:t xml:space="preserve">ani </w:t>
      </w:r>
      <w:r w:rsidR="00253442">
        <w:rPr>
          <w:rFonts w:eastAsia="Calibri" w:cstheme="minorHAnsi"/>
          <w:sz w:val="24"/>
          <w:szCs w:val="24"/>
        </w:rPr>
        <w:t xml:space="preserve">žádná </w:t>
      </w:r>
      <w:r w:rsidR="006F4E28">
        <w:rPr>
          <w:rFonts w:eastAsia="Calibri" w:cstheme="minorHAnsi"/>
          <w:sz w:val="24"/>
          <w:szCs w:val="24"/>
        </w:rPr>
        <w:t>sankční ustanovení</w:t>
      </w:r>
      <w:r w:rsidR="00034E63">
        <w:rPr>
          <w:rFonts w:eastAsia="Calibri" w:cstheme="minorHAnsi"/>
          <w:sz w:val="24"/>
          <w:szCs w:val="24"/>
        </w:rPr>
        <w:t xml:space="preserve"> pro případ neplnění povinností smluvními stranami</w:t>
      </w:r>
      <w:r w:rsidR="006F4E28">
        <w:rPr>
          <w:rFonts w:eastAsia="Calibri" w:cstheme="minorHAnsi"/>
          <w:sz w:val="24"/>
          <w:szCs w:val="24"/>
        </w:rPr>
        <w:t xml:space="preserve">. </w:t>
      </w:r>
      <w:r w:rsidR="00A00605">
        <w:rPr>
          <w:rFonts w:eastAsia="Calibri" w:cstheme="minorHAnsi"/>
          <w:sz w:val="24"/>
          <w:szCs w:val="24"/>
        </w:rPr>
        <w:t xml:space="preserve">V příkazní smlouvě navrhlo </w:t>
      </w:r>
      <w:r w:rsidR="007D7F4F">
        <w:rPr>
          <w:rFonts w:eastAsia="Calibri" w:cstheme="minorHAnsi"/>
          <w:sz w:val="24"/>
          <w:szCs w:val="24"/>
        </w:rPr>
        <w:t xml:space="preserve">ŘSD </w:t>
      </w:r>
      <w:r w:rsidR="00A00605">
        <w:rPr>
          <w:rFonts w:eastAsia="Calibri" w:cstheme="minorHAnsi"/>
          <w:sz w:val="24"/>
          <w:szCs w:val="24"/>
        </w:rPr>
        <w:t xml:space="preserve">provádět nejméně 1 000 </w:t>
      </w:r>
      <w:r w:rsidR="00F06DCD">
        <w:rPr>
          <w:rFonts w:eastAsia="Calibri" w:cstheme="minorHAnsi"/>
          <w:sz w:val="24"/>
          <w:szCs w:val="24"/>
        </w:rPr>
        <w:t>NKV</w:t>
      </w:r>
      <w:r w:rsidR="00A00605">
        <w:rPr>
          <w:rFonts w:eastAsia="Calibri" w:cstheme="minorHAnsi"/>
          <w:sz w:val="24"/>
          <w:szCs w:val="24"/>
        </w:rPr>
        <w:t xml:space="preserve"> vozidel stanovených kategorií měsíčně</w:t>
      </w:r>
      <w:r w:rsidR="00F06DCD">
        <w:rPr>
          <w:rFonts w:eastAsia="Calibri" w:cstheme="minorHAnsi"/>
          <w:sz w:val="24"/>
          <w:szCs w:val="24"/>
        </w:rPr>
        <w:t xml:space="preserve">. </w:t>
      </w:r>
      <w:r w:rsidR="00F06DCD">
        <w:rPr>
          <w:rFonts w:eastAsia="Calibri" w:cstheme="minorHAnsi"/>
          <w:sz w:val="24"/>
          <w:szCs w:val="24"/>
        </w:rPr>
        <w:lastRenderedPageBreak/>
        <w:t xml:space="preserve">V připomínkovém řízení ale byl tento počet snížen na 90 NKV </w:t>
      </w:r>
      <w:proofErr w:type="gramStart"/>
      <w:r w:rsidR="00F06DCD">
        <w:rPr>
          <w:rFonts w:eastAsia="Calibri" w:cstheme="minorHAnsi"/>
          <w:sz w:val="24"/>
          <w:szCs w:val="24"/>
        </w:rPr>
        <w:t>měsíčně</w:t>
      </w:r>
      <w:proofErr w:type="gramEnd"/>
      <w:r w:rsidR="00F06DCD">
        <w:rPr>
          <w:rFonts w:eastAsia="Calibri" w:cstheme="minorHAnsi"/>
          <w:sz w:val="24"/>
          <w:szCs w:val="24"/>
        </w:rPr>
        <w:t xml:space="preserve"> a nakonec nebyl </w:t>
      </w:r>
      <w:r w:rsidR="007D7F4F">
        <w:rPr>
          <w:rFonts w:eastAsia="Calibri" w:cstheme="minorHAnsi"/>
          <w:sz w:val="24"/>
          <w:szCs w:val="24"/>
        </w:rPr>
        <w:t xml:space="preserve">počet </w:t>
      </w:r>
      <w:r w:rsidR="00F06DCD">
        <w:rPr>
          <w:rFonts w:eastAsia="Calibri" w:cstheme="minorHAnsi"/>
          <w:sz w:val="24"/>
          <w:szCs w:val="24"/>
        </w:rPr>
        <w:t>do smlouvy vůbec zahrnut s</w:t>
      </w:r>
      <w:r w:rsidR="007D7F4F">
        <w:rPr>
          <w:rFonts w:eastAsia="Calibri" w:cstheme="minorHAnsi"/>
          <w:sz w:val="24"/>
          <w:szCs w:val="24"/>
        </w:rPr>
        <w:t xml:space="preserve"> </w:t>
      </w:r>
      <w:r w:rsidR="00F06DCD">
        <w:rPr>
          <w:rFonts w:eastAsia="Calibri" w:cstheme="minorHAnsi"/>
          <w:sz w:val="24"/>
          <w:szCs w:val="24"/>
        </w:rPr>
        <w:t xml:space="preserve">odůvodněním, že </w:t>
      </w:r>
      <w:r w:rsidR="00F06DCD" w:rsidRPr="00F06DCD">
        <w:rPr>
          <w:rFonts w:eastAsia="Calibri" w:cstheme="minorHAnsi"/>
          <w:sz w:val="24"/>
          <w:szCs w:val="24"/>
        </w:rPr>
        <w:t>ve stávající právní úpravě s</w:t>
      </w:r>
      <w:r w:rsidR="007D7F4F">
        <w:rPr>
          <w:rFonts w:eastAsia="Calibri" w:cstheme="minorHAnsi"/>
          <w:sz w:val="24"/>
          <w:szCs w:val="24"/>
        </w:rPr>
        <w:t xml:space="preserve"> </w:t>
      </w:r>
      <w:r w:rsidR="00F06DCD" w:rsidRPr="00F06DCD">
        <w:rPr>
          <w:rFonts w:eastAsia="Calibri" w:cstheme="minorHAnsi"/>
          <w:sz w:val="24"/>
          <w:szCs w:val="24"/>
        </w:rPr>
        <w:t xml:space="preserve">ohledem na nezbytnou součinnost Policie České republiky nebo </w:t>
      </w:r>
      <w:r w:rsidR="00034E63">
        <w:rPr>
          <w:rFonts w:eastAsia="Calibri" w:cstheme="minorHAnsi"/>
          <w:sz w:val="24"/>
          <w:szCs w:val="24"/>
        </w:rPr>
        <w:t>C</w:t>
      </w:r>
      <w:r w:rsidR="00F06DCD" w:rsidRPr="00F06DCD">
        <w:rPr>
          <w:rFonts w:eastAsia="Calibri" w:cstheme="minorHAnsi"/>
          <w:sz w:val="24"/>
          <w:szCs w:val="24"/>
        </w:rPr>
        <w:t xml:space="preserve">elní správy nemůže CSPSD </w:t>
      </w:r>
      <w:r w:rsidR="00825789">
        <w:rPr>
          <w:rFonts w:eastAsia="Calibri" w:cstheme="minorHAnsi"/>
          <w:sz w:val="24"/>
          <w:szCs w:val="24"/>
        </w:rPr>
        <w:t xml:space="preserve">garantovat </w:t>
      </w:r>
      <w:r w:rsidR="00F06DCD" w:rsidRPr="00F06DCD">
        <w:rPr>
          <w:rFonts w:eastAsia="Calibri" w:cstheme="minorHAnsi"/>
          <w:sz w:val="24"/>
          <w:szCs w:val="24"/>
        </w:rPr>
        <w:t xml:space="preserve">rozsah </w:t>
      </w:r>
      <w:r w:rsidR="00253442">
        <w:rPr>
          <w:rFonts w:eastAsia="Calibri" w:cstheme="minorHAnsi"/>
          <w:sz w:val="24"/>
          <w:szCs w:val="24"/>
        </w:rPr>
        <w:t>NKV</w:t>
      </w:r>
      <w:r w:rsidR="00F06DCD" w:rsidRPr="00F06DCD">
        <w:rPr>
          <w:rFonts w:eastAsia="Calibri" w:cstheme="minorHAnsi"/>
          <w:sz w:val="24"/>
          <w:szCs w:val="24"/>
        </w:rPr>
        <w:t xml:space="preserve">. </w:t>
      </w:r>
      <w:r w:rsidR="00D23603">
        <w:rPr>
          <w:rFonts w:eastAsia="Calibri" w:cstheme="minorHAnsi"/>
          <w:sz w:val="24"/>
          <w:szCs w:val="24"/>
        </w:rPr>
        <w:t xml:space="preserve">Příkazní smlouvy neumožňovaly ŘSD ani </w:t>
      </w:r>
      <w:r w:rsidR="00D23603" w:rsidRPr="00D23603">
        <w:rPr>
          <w:rFonts w:eastAsia="Calibri" w:cstheme="minorHAnsi"/>
          <w:sz w:val="24"/>
          <w:szCs w:val="24"/>
        </w:rPr>
        <w:t>monitoring a vyhodnocování výsledků NKV.</w:t>
      </w:r>
      <w:r w:rsidR="00D23603">
        <w:rPr>
          <w:rFonts w:eastAsia="Calibri" w:cstheme="minorHAnsi"/>
          <w:sz w:val="24"/>
          <w:szCs w:val="24"/>
        </w:rPr>
        <w:t xml:space="preserve"> Návrh ŘSD, aby prováděním NKV bylo pověřeno přímo CSPSD, MD odmítlo.</w:t>
      </w:r>
    </w:p>
    <w:p w14:paraId="38758BE2" w14:textId="77777777" w:rsidR="00EF1C29" w:rsidRDefault="00EF1C29" w:rsidP="003A2119">
      <w:pPr>
        <w:spacing w:after="0" w:line="252" w:lineRule="auto"/>
        <w:contextualSpacing/>
        <w:jc w:val="both"/>
        <w:rPr>
          <w:rFonts w:eastAsia="Calibri" w:cstheme="minorHAnsi"/>
          <w:sz w:val="24"/>
          <w:szCs w:val="24"/>
        </w:rPr>
      </w:pPr>
    </w:p>
    <w:p w14:paraId="10843C1D" w14:textId="29647FC5" w:rsidR="00FF1C2D" w:rsidRDefault="00FF1C2D" w:rsidP="00331598">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52 </w:t>
      </w:r>
      <w:r w:rsidR="00587BA9">
        <w:rPr>
          <w:rFonts w:eastAsia="Calibri" w:cstheme="minorHAnsi"/>
          <w:sz w:val="24"/>
          <w:szCs w:val="24"/>
        </w:rPr>
        <w:t xml:space="preserve">Počty provedených NKV v porovnání s počty vážních deliktů </w:t>
      </w:r>
      <w:r w:rsidR="000A66DB">
        <w:rPr>
          <w:rFonts w:eastAsia="Calibri" w:cstheme="minorHAnsi"/>
          <w:sz w:val="24"/>
          <w:szCs w:val="24"/>
        </w:rPr>
        <w:t xml:space="preserve">zjištěných VKV jsou velmi nízké. </w:t>
      </w:r>
      <w:r w:rsidR="000A66DB" w:rsidRPr="000A66DB">
        <w:rPr>
          <w:rFonts w:eastAsia="Calibri" w:cstheme="minorHAnsi"/>
          <w:sz w:val="24"/>
          <w:szCs w:val="24"/>
        </w:rPr>
        <w:t xml:space="preserve">Při NKV </w:t>
      </w:r>
      <w:r w:rsidR="00BC43D4">
        <w:rPr>
          <w:rFonts w:eastAsia="Calibri" w:cstheme="minorHAnsi"/>
          <w:sz w:val="24"/>
          <w:szCs w:val="24"/>
        </w:rPr>
        <w:t xml:space="preserve">navíc </w:t>
      </w:r>
      <w:r w:rsidR="007D7F4F">
        <w:rPr>
          <w:rFonts w:eastAsia="Calibri" w:cstheme="minorHAnsi"/>
          <w:sz w:val="24"/>
          <w:szCs w:val="24"/>
        </w:rPr>
        <w:t xml:space="preserve">byla </w:t>
      </w:r>
      <w:r w:rsidR="00034E63">
        <w:rPr>
          <w:rFonts w:eastAsia="Calibri" w:cstheme="minorHAnsi"/>
          <w:sz w:val="24"/>
          <w:szCs w:val="24"/>
        </w:rPr>
        <w:t xml:space="preserve">téměř ze tří čtvrtin </w:t>
      </w:r>
      <w:r w:rsidR="000A66DB" w:rsidRPr="000A66DB">
        <w:rPr>
          <w:rFonts w:eastAsia="Calibri" w:cstheme="minorHAnsi"/>
          <w:sz w:val="24"/>
          <w:szCs w:val="24"/>
        </w:rPr>
        <w:t>kontrol</w:t>
      </w:r>
      <w:r w:rsidR="00034E63">
        <w:rPr>
          <w:rFonts w:eastAsia="Calibri" w:cstheme="minorHAnsi"/>
          <w:sz w:val="24"/>
          <w:szCs w:val="24"/>
        </w:rPr>
        <w:t>ována</w:t>
      </w:r>
      <w:r w:rsidR="000A66DB" w:rsidRPr="000A66DB">
        <w:rPr>
          <w:rFonts w:eastAsia="Calibri" w:cstheme="minorHAnsi"/>
          <w:sz w:val="24"/>
          <w:szCs w:val="24"/>
        </w:rPr>
        <w:t xml:space="preserve"> vozidl</w:t>
      </w:r>
      <w:r w:rsidR="00034E63">
        <w:rPr>
          <w:rFonts w:eastAsia="Calibri" w:cstheme="minorHAnsi"/>
          <w:sz w:val="24"/>
          <w:szCs w:val="24"/>
        </w:rPr>
        <w:t>a</w:t>
      </w:r>
      <w:r w:rsidR="000A66DB" w:rsidRPr="000A66DB">
        <w:rPr>
          <w:rFonts w:eastAsia="Calibri" w:cstheme="minorHAnsi"/>
          <w:sz w:val="24"/>
          <w:szCs w:val="24"/>
        </w:rPr>
        <w:t xml:space="preserve"> kategorie N1 s maximální hmotností do 3,5 tuny, jejichž destruktivní účinek na dopravní infrastrukturu vlivem případného přetížení je výrazně </w:t>
      </w:r>
      <w:r w:rsidR="00A83EFC" w:rsidRPr="000A66DB">
        <w:rPr>
          <w:rFonts w:eastAsia="Calibri" w:cstheme="minorHAnsi"/>
          <w:sz w:val="24"/>
          <w:szCs w:val="24"/>
        </w:rPr>
        <w:t>nižší</w:t>
      </w:r>
      <w:r w:rsidR="000A66DB" w:rsidRPr="000A66DB">
        <w:rPr>
          <w:rFonts w:eastAsia="Calibri" w:cstheme="minorHAnsi"/>
          <w:sz w:val="24"/>
          <w:szCs w:val="24"/>
        </w:rPr>
        <w:t xml:space="preserve"> než u nákladních vozidel </w:t>
      </w:r>
      <w:r w:rsidR="00034E63">
        <w:rPr>
          <w:rFonts w:eastAsia="Calibri" w:cstheme="minorHAnsi"/>
          <w:sz w:val="24"/>
          <w:szCs w:val="24"/>
        </w:rPr>
        <w:t>s vyšší hmotností</w:t>
      </w:r>
      <w:r w:rsidR="000A66DB" w:rsidRPr="000A66DB">
        <w:rPr>
          <w:rFonts w:eastAsia="Calibri" w:cstheme="minorHAnsi"/>
          <w:sz w:val="24"/>
          <w:szCs w:val="24"/>
        </w:rPr>
        <w:t xml:space="preserve">. </w:t>
      </w:r>
      <w:r w:rsidR="00331598">
        <w:rPr>
          <w:rFonts w:eastAsia="Calibri" w:cstheme="minorHAnsi"/>
          <w:sz w:val="24"/>
          <w:szCs w:val="24"/>
        </w:rPr>
        <w:t xml:space="preserve">MD to zdůvodnilo tím, že četnost a zaměření kontrol je věcí Policie České republiky a jejího personálního a materiálního vybavení. </w:t>
      </w:r>
    </w:p>
    <w:p w14:paraId="3C02E44D" w14:textId="77777777" w:rsidR="00FF1C2D" w:rsidRDefault="00FF1C2D" w:rsidP="00331598">
      <w:pPr>
        <w:spacing w:after="0" w:line="252" w:lineRule="auto"/>
        <w:contextualSpacing/>
        <w:jc w:val="both"/>
        <w:rPr>
          <w:rFonts w:eastAsia="Calibri" w:cstheme="minorHAnsi"/>
          <w:sz w:val="24"/>
          <w:szCs w:val="24"/>
        </w:rPr>
      </w:pPr>
    </w:p>
    <w:p w14:paraId="55FD278D" w14:textId="601E0D90" w:rsidR="00FA323F" w:rsidRPr="004459F3" w:rsidRDefault="00FF1C2D" w:rsidP="00331598">
      <w:pPr>
        <w:spacing w:after="0" w:line="252" w:lineRule="auto"/>
        <w:contextualSpacing/>
        <w:jc w:val="both"/>
        <w:rPr>
          <w:rFonts w:cstheme="minorHAnsi"/>
          <w:iCs/>
        </w:rPr>
      </w:pPr>
      <w:r>
        <w:rPr>
          <w:rFonts w:eastAsia="Calibri" w:cstheme="minorHAnsi"/>
          <w:sz w:val="24"/>
          <w:szCs w:val="24"/>
        </w:rPr>
        <w:t>4.</w:t>
      </w:r>
      <w:r w:rsidR="00CE41BF">
        <w:rPr>
          <w:rFonts w:eastAsia="Calibri" w:cstheme="minorHAnsi"/>
          <w:sz w:val="24"/>
          <w:szCs w:val="24"/>
        </w:rPr>
        <w:t xml:space="preserve">53 </w:t>
      </w:r>
      <w:r>
        <w:rPr>
          <w:rFonts w:eastAsia="Calibri" w:cstheme="minorHAnsi"/>
          <w:sz w:val="24"/>
          <w:szCs w:val="24"/>
        </w:rPr>
        <w:t xml:space="preserve">Nepoměr mezi počtem vážních deliktů zjišťovaných VKV a NKV </w:t>
      </w:r>
      <w:r w:rsidR="00034E63">
        <w:rPr>
          <w:rFonts w:eastAsia="Calibri" w:cstheme="minorHAnsi"/>
          <w:sz w:val="24"/>
          <w:szCs w:val="24"/>
        </w:rPr>
        <w:t xml:space="preserve">a nízký podíl kontrol těžkých nákladních vozidel </w:t>
      </w:r>
      <w:r w:rsidR="007D7F4F">
        <w:rPr>
          <w:rFonts w:eastAsia="Calibri" w:cstheme="minorHAnsi"/>
          <w:sz w:val="24"/>
          <w:szCs w:val="24"/>
        </w:rPr>
        <w:t xml:space="preserve">ilustruje </w:t>
      </w:r>
      <w:r>
        <w:rPr>
          <w:rFonts w:eastAsia="Calibri" w:cstheme="minorHAnsi"/>
          <w:sz w:val="24"/>
          <w:szCs w:val="24"/>
        </w:rPr>
        <w:t xml:space="preserve">příklad č. </w:t>
      </w:r>
      <w:r w:rsidR="00E741C1">
        <w:rPr>
          <w:rFonts w:eastAsia="Calibri" w:cstheme="minorHAnsi"/>
          <w:sz w:val="24"/>
          <w:szCs w:val="24"/>
        </w:rPr>
        <w:t>3.</w:t>
      </w:r>
      <w:r>
        <w:rPr>
          <w:rFonts w:eastAsia="Calibri" w:cstheme="minorHAnsi"/>
          <w:sz w:val="24"/>
          <w:szCs w:val="24"/>
        </w:rPr>
        <w:t xml:space="preserve"> </w:t>
      </w:r>
    </w:p>
    <w:p w14:paraId="6BE3344C" w14:textId="77777777" w:rsidR="000D2E0A" w:rsidRDefault="000D2E0A" w:rsidP="00331598">
      <w:pPr>
        <w:spacing w:after="0" w:line="252" w:lineRule="auto"/>
        <w:contextualSpacing/>
        <w:jc w:val="both"/>
        <w:rPr>
          <w:rFonts w:eastAsia="Calibri" w:cstheme="minorHAnsi"/>
          <w:sz w:val="24"/>
          <w:szCs w:val="24"/>
        </w:rPr>
      </w:pPr>
    </w:p>
    <w:p w14:paraId="065A2CEB" w14:textId="2047FA8E" w:rsidR="00FA323F" w:rsidRDefault="00FA323F" w:rsidP="00FA323F">
      <w:pPr>
        <w:spacing w:after="0" w:line="252" w:lineRule="auto"/>
        <w:contextualSpacing/>
        <w:rPr>
          <w:rFonts w:eastAsia="Calibri" w:cstheme="minorHAnsi"/>
          <w:b/>
          <w:sz w:val="24"/>
          <w:szCs w:val="24"/>
        </w:rPr>
      </w:pPr>
      <w:r w:rsidRPr="00986CD3">
        <w:rPr>
          <w:rFonts w:eastAsia="Calibri" w:cstheme="minorHAnsi"/>
          <w:b/>
          <w:sz w:val="24"/>
          <w:szCs w:val="24"/>
        </w:rPr>
        <w:t xml:space="preserve">Příklad </w:t>
      </w:r>
      <w:r w:rsidRPr="00A508F5">
        <w:rPr>
          <w:rFonts w:eastAsia="Calibri" w:cstheme="minorHAnsi"/>
          <w:b/>
          <w:sz w:val="24"/>
          <w:szCs w:val="24"/>
        </w:rPr>
        <w:t xml:space="preserve">č. </w:t>
      </w:r>
      <w:r w:rsidR="00E741C1">
        <w:rPr>
          <w:rFonts w:eastAsia="Calibri" w:cstheme="minorHAnsi"/>
          <w:b/>
          <w:sz w:val="24"/>
          <w:szCs w:val="24"/>
        </w:rPr>
        <w:t>3</w:t>
      </w:r>
      <w:r w:rsidR="00986CD3" w:rsidRPr="00A508F5">
        <w:rPr>
          <w:rFonts w:eastAsia="Calibri" w:cstheme="minorHAnsi"/>
          <w:b/>
          <w:sz w:val="24"/>
          <w:szCs w:val="24"/>
        </w:rPr>
        <w:t>: Počet</w:t>
      </w:r>
      <w:r w:rsidR="00986CD3" w:rsidRPr="007C4E61">
        <w:rPr>
          <w:rFonts w:eastAsia="Calibri" w:cstheme="minorHAnsi"/>
          <w:b/>
          <w:sz w:val="24"/>
          <w:szCs w:val="24"/>
        </w:rPr>
        <w:t xml:space="preserve"> NKV provedený</w:t>
      </w:r>
      <w:r w:rsidR="007D7F4F">
        <w:rPr>
          <w:rFonts w:eastAsia="Calibri" w:cstheme="minorHAnsi"/>
          <w:b/>
          <w:sz w:val="24"/>
          <w:szCs w:val="24"/>
        </w:rPr>
        <w:t>ch</w:t>
      </w:r>
      <w:r w:rsidR="00986CD3" w:rsidRPr="007C4E61">
        <w:rPr>
          <w:rFonts w:eastAsia="Calibri" w:cstheme="minorHAnsi"/>
          <w:b/>
          <w:sz w:val="24"/>
          <w:szCs w:val="24"/>
        </w:rPr>
        <w:t xml:space="preserve"> na dálnicích v roce 2023</w:t>
      </w:r>
    </w:p>
    <w:p w14:paraId="4C79D6A9" w14:textId="77777777" w:rsidR="0056656A" w:rsidRPr="0056656A" w:rsidRDefault="0056656A" w:rsidP="00FA323F">
      <w:pPr>
        <w:spacing w:after="0" w:line="252" w:lineRule="auto"/>
        <w:contextualSpacing/>
        <w:rPr>
          <w:rFonts w:eastAsia="Calibri" w:cstheme="minorHAnsi"/>
          <w:b/>
          <w:sz w:val="6"/>
          <w:szCs w:val="6"/>
        </w:rPr>
      </w:pPr>
    </w:p>
    <w:p w14:paraId="792D006F" w14:textId="77777777" w:rsidR="00FA323F" w:rsidRDefault="00FA323F"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V </w:t>
      </w:r>
      <w:r w:rsidRPr="000A66DB">
        <w:rPr>
          <w:rFonts w:eastAsia="Calibri" w:cstheme="minorHAnsi"/>
          <w:sz w:val="24"/>
          <w:szCs w:val="24"/>
        </w:rPr>
        <w:t xml:space="preserve">roce 2023 </w:t>
      </w:r>
      <w:r>
        <w:rPr>
          <w:rFonts w:eastAsia="Calibri" w:cstheme="minorHAnsi"/>
          <w:sz w:val="24"/>
          <w:szCs w:val="24"/>
        </w:rPr>
        <w:t xml:space="preserve">bylo na dálnicích v České republice </w:t>
      </w:r>
      <w:r w:rsidR="00253442">
        <w:rPr>
          <w:rFonts w:eastAsia="Calibri" w:cstheme="minorHAnsi"/>
          <w:sz w:val="24"/>
          <w:szCs w:val="24"/>
        </w:rPr>
        <w:t xml:space="preserve">za účasti CSPSD </w:t>
      </w:r>
      <w:r>
        <w:rPr>
          <w:rFonts w:eastAsia="Calibri" w:cstheme="minorHAnsi"/>
          <w:sz w:val="24"/>
          <w:szCs w:val="24"/>
        </w:rPr>
        <w:t xml:space="preserve">provedeno celkem 938 NKV. Z toho 693 NKV (73,88 %) se týkalo vozidel kategorie N1, 233 NKV (24,84 %) vozidel ostatních kategorií a 12 NKV (1,28 %) se týkalo nadměrných nákladů. Ve stejném období přitom bylo VKV na dálnicích zjištěno </w:t>
      </w:r>
      <w:r w:rsidR="008D171C">
        <w:rPr>
          <w:rFonts w:eastAsia="Calibri" w:cstheme="minorHAnsi"/>
          <w:sz w:val="24"/>
          <w:szCs w:val="24"/>
        </w:rPr>
        <w:t>77</w:t>
      </w:r>
      <w:r>
        <w:rPr>
          <w:rFonts w:eastAsia="Calibri" w:cstheme="minorHAnsi"/>
          <w:sz w:val="24"/>
          <w:szCs w:val="24"/>
        </w:rPr>
        <w:t> </w:t>
      </w:r>
      <w:r w:rsidR="008D171C">
        <w:rPr>
          <w:rFonts w:eastAsia="Calibri" w:cstheme="minorHAnsi"/>
          <w:sz w:val="24"/>
          <w:szCs w:val="24"/>
        </w:rPr>
        <w:t>552</w:t>
      </w:r>
      <w:r>
        <w:rPr>
          <w:rFonts w:eastAsia="Calibri" w:cstheme="minorHAnsi"/>
          <w:sz w:val="24"/>
          <w:szCs w:val="24"/>
        </w:rPr>
        <w:t xml:space="preserve"> přetížených vozidel.</w:t>
      </w:r>
    </w:p>
    <w:p w14:paraId="4E76A9DE" w14:textId="77777777" w:rsidR="000675CC" w:rsidRDefault="000675CC" w:rsidP="00325F12">
      <w:pPr>
        <w:spacing w:after="0" w:line="252" w:lineRule="auto"/>
        <w:contextualSpacing/>
        <w:rPr>
          <w:rFonts w:eastAsia="Calibri" w:cstheme="minorHAnsi"/>
          <w:sz w:val="24"/>
          <w:szCs w:val="24"/>
        </w:rPr>
      </w:pPr>
    </w:p>
    <w:p w14:paraId="395F9A1E" w14:textId="2DEA860B" w:rsidR="00325F12" w:rsidRDefault="00FF1C2D" w:rsidP="000675CC">
      <w:pPr>
        <w:spacing w:after="0" w:line="252" w:lineRule="auto"/>
        <w:contextualSpacing/>
        <w:jc w:val="both"/>
        <w:rPr>
          <w:rFonts w:eastAsia="Calibri" w:cstheme="minorHAnsi"/>
          <w:sz w:val="24"/>
          <w:szCs w:val="24"/>
        </w:rPr>
      </w:pPr>
      <w:r>
        <w:rPr>
          <w:rFonts w:eastAsia="Calibri" w:cstheme="minorHAnsi"/>
          <w:sz w:val="24"/>
          <w:szCs w:val="24"/>
        </w:rPr>
        <w:t>4.</w:t>
      </w:r>
      <w:r w:rsidR="00CE41BF">
        <w:rPr>
          <w:rFonts w:eastAsia="Calibri" w:cstheme="minorHAnsi"/>
          <w:sz w:val="24"/>
          <w:szCs w:val="24"/>
        </w:rPr>
        <w:t xml:space="preserve">54 </w:t>
      </w:r>
      <w:r w:rsidR="000675CC">
        <w:rPr>
          <w:rFonts w:eastAsia="Calibri" w:cstheme="minorHAnsi"/>
          <w:sz w:val="24"/>
          <w:szCs w:val="24"/>
        </w:rPr>
        <w:t>V provádění NKV jsou m</w:t>
      </w:r>
      <w:r w:rsidR="00BC43D4">
        <w:rPr>
          <w:rFonts w:eastAsia="Calibri" w:cstheme="minorHAnsi"/>
          <w:sz w:val="24"/>
          <w:szCs w:val="24"/>
        </w:rPr>
        <w:t xml:space="preserve">ezi jednotlivými kraji </w:t>
      </w:r>
      <w:r w:rsidR="000675CC">
        <w:rPr>
          <w:rFonts w:eastAsia="Calibri" w:cstheme="minorHAnsi"/>
          <w:sz w:val="24"/>
          <w:szCs w:val="24"/>
        </w:rPr>
        <w:t>značné rozdíly</w:t>
      </w:r>
      <w:r>
        <w:rPr>
          <w:rFonts w:eastAsia="Calibri" w:cstheme="minorHAnsi"/>
          <w:sz w:val="24"/>
          <w:szCs w:val="24"/>
        </w:rPr>
        <w:t xml:space="preserve"> (viz příklad č. </w:t>
      </w:r>
      <w:r w:rsidR="00E741C1">
        <w:rPr>
          <w:rFonts w:eastAsia="Calibri" w:cstheme="minorHAnsi"/>
          <w:sz w:val="24"/>
          <w:szCs w:val="24"/>
        </w:rPr>
        <w:t>4</w:t>
      </w:r>
      <w:r>
        <w:rPr>
          <w:rFonts w:eastAsia="Calibri" w:cstheme="minorHAnsi"/>
          <w:sz w:val="24"/>
          <w:szCs w:val="24"/>
        </w:rPr>
        <w:t>)</w:t>
      </w:r>
      <w:r w:rsidR="00BC43D4">
        <w:rPr>
          <w:rFonts w:eastAsia="Calibri" w:cstheme="minorHAnsi"/>
          <w:sz w:val="24"/>
          <w:szCs w:val="24"/>
        </w:rPr>
        <w:t>, které nelze vysvětlit jen rozdílnou délkou dálnic na jejich území.</w:t>
      </w:r>
      <w:r w:rsidR="000675CC">
        <w:rPr>
          <w:rFonts w:eastAsia="Calibri" w:cstheme="minorHAnsi"/>
          <w:sz w:val="24"/>
          <w:szCs w:val="24"/>
        </w:rPr>
        <w:t xml:space="preserve"> Důvodem </w:t>
      </w:r>
      <w:r w:rsidR="00253442">
        <w:rPr>
          <w:rFonts w:eastAsia="Calibri" w:cstheme="minorHAnsi"/>
          <w:sz w:val="24"/>
          <w:szCs w:val="24"/>
        </w:rPr>
        <w:t>byla</w:t>
      </w:r>
      <w:r w:rsidR="000675CC">
        <w:rPr>
          <w:rFonts w:eastAsia="Calibri" w:cstheme="minorHAnsi"/>
          <w:sz w:val="24"/>
          <w:szCs w:val="24"/>
        </w:rPr>
        <w:t xml:space="preserve"> </w:t>
      </w:r>
      <w:r w:rsidR="00B17462">
        <w:rPr>
          <w:rFonts w:eastAsia="Calibri" w:cstheme="minorHAnsi"/>
          <w:sz w:val="24"/>
          <w:szCs w:val="24"/>
        </w:rPr>
        <w:t>především</w:t>
      </w:r>
      <w:r w:rsidR="000675CC">
        <w:rPr>
          <w:rFonts w:eastAsia="Calibri" w:cstheme="minorHAnsi"/>
          <w:sz w:val="24"/>
          <w:szCs w:val="24"/>
        </w:rPr>
        <w:t xml:space="preserve"> různá úroveň součinnosti Policie České republiky nebo </w:t>
      </w:r>
      <w:r w:rsidR="00034E63">
        <w:rPr>
          <w:rFonts w:eastAsia="Calibri" w:cstheme="minorHAnsi"/>
          <w:sz w:val="24"/>
          <w:szCs w:val="24"/>
        </w:rPr>
        <w:t>C</w:t>
      </w:r>
      <w:r w:rsidR="0011697A">
        <w:rPr>
          <w:rFonts w:eastAsia="Calibri" w:cstheme="minorHAnsi"/>
          <w:sz w:val="24"/>
          <w:szCs w:val="24"/>
        </w:rPr>
        <w:t>elní správy, jejich</w:t>
      </w:r>
      <w:r w:rsidR="00034E63">
        <w:rPr>
          <w:rFonts w:eastAsia="Calibri" w:cstheme="minorHAnsi"/>
          <w:sz w:val="24"/>
          <w:szCs w:val="24"/>
        </w:rPr>
        <w:t>ž</w:t>
      </w:r>
      <w:r w:rsidR="0011697A">
        <w:rPr>
          <w:rFonts w:eastAsia="Calibri" w:cstheme="minorHAnsi"/>
          <w:sz w:val="24"/>
          <w:szCs w:val="24"/>
        </w:rPr>
        <w:t xml:space="preserve"> </w:t>
      </w:r>
      <w:r w:rsidR="00034E63">
        <w:rPr>
          <w:rFonts w:eastAsia="Calibri" w:cstheme="minorHAnsi"/>
          <w:sz w:val="24"/>
          <w:szCs w:val="24"/>
        </w:rPr>
        <w:t>příslušní</w:t>
      </w:r>
      <w:r w:rsidR="00502260">
        <w:rPr>
          <w:rFonts w:eastAsia="Calibri" w:cstheme="minorHAnsi"/>
          <w:sz w:val="24"/>
          <w:szCs w:val="24"/>
        </w:rPr>
        <w:t>ci</w:t>
      </w:r>
      <w:r w:rsidR="0011697A">
        <w:rPr>
          <w:rFonts w:eastAsia="Calibri" w:cstheme="minorHAnsi"/>
          <w:sz w:val="24"/>
          <w:szCs w:val="24"/>
        </w:rPr>
        <w:t xml:space="preserve"> </w:t>
      </w:r>
      <w:r w:rsidR="00502260">
        <w:rPr>
          <w:rFonts w:eastAsia="Calibri" w:cstheme="minorHAnsi"/>
          <w:sz w:val="24"/>
          <w:szCs w:val="24"/>
        </w:rPr>
        <w:t>musí být u</w:t>
      </w:r>
      <w:r w:rsidR="0011697A">
        <w:rPr>
          <w:rFonts w:eastAsia="Calibri" w:cstheme="minorHAnsi"/>
          <w:sz w:val="24"/>
          <w:szCs w:val="24"/>
        </w:rPr>
        <w:t xml:space="preserve"> NKV </w:t>
      </w:r>
      <w:r w:rsidR="00502260">
        <w:rPr>
          <w:rFonts w:eastAsia="Calibri" w:cstheme="minorHAnsi"/>
          <w:sz w:val="24"/>
          <w:szCs w:val="24"/>
        </w:rPr>
        <w:t>přítomni</w:t>
      </w:r>
      <w:r w:rsidR="0011697A">
        <w:rPr>
          <w:rFonts w:eastAsia="Calibri" w:cstheme="minorHAnsi"/>
          <w:sz w:val="24"/>
          <w:szCs w:val="24"/>
        </w:rPr>
        <w:t xml:space="preserve">. </w:t>
      </w:r>
    </w:p>
    <w:p w14:paraId="3AF54A09" w14:textId="77777777" w:rsidR="002025E9" w:rsidRDefault="002025E9" w:rsidP="00325F12">
      <w:pPr>
        <w:spacing w:after="0" w:line="252" w:lineRule="auto"/>
        <w:contextualSpacing/>
        <w:rPr>
          <w:rFonts w:eastAsia="Calibri" w:cstheme="minorHAnsi"/>
          <w:sz w:val="24"/>
          <w:szCs w:val="24"/>
        </w:rPr>
      </w:pPr>
    </w:p>
    <w:p w14:paraId="0839FE01" w14:textId="77777777" w:rsidR="0056656A" w:rsidRDefault="000675CC" w:rsidP="000675CC">
      <w:pPr>
        <w:spacing w:after="0" w:line="252" w:lineRule="auto"/>
        <w:contextualSpacing/>
        <w:rPr>
          <w:rFonts w:eastAsia="Calibri" w:cstheme="minorHAnsi"/>
          <w:b/>
          <w:sz w:val="24"/>
          <w:szCs w:val="24"/>
        </w:rPr>
      </w:pPr>
      <w:r w:rsidRPr="00A508F5">
        <w:rPr>
          <w:rFonts w:eastAsia="Calibri" w:cstheme="minorHAnsi"/>
          <w:b/>
          <w:sz w:val="24"/>
          <w:szCs w:val="24"/>
        </w:rPr>
        <w:t xml:space="preserve">Příklad č. </w:t>
      </w:r>
      <w:r w:rsidR="00E741C1">
        <w:rPr>
          <w:rFonts w:eastAsia="Calibri" w:cstheme="minorHAnsi"/>
          <w:b/>
          <w:sz w:val="24"/>
          <w:szCs w:val="24"/>
        </w:rPr>
        <w:t>4</w:t>
      </w:r>
      <w:r w:rsidR="00986CD3" w:rsidRPr="00A508F5">
        <w:rPr>
          <w:rFonts w:eastAsia="Calibri" w:cstheme="minorHAnsi"/>
          <w:b/>
          <w:sz w:val="24"/>
          <w:szCs w:val="24"/>
        </w:rPr>
        <w:t>: Rozdíly</w:t>
      </w:r>
      <w:r w:rsidR="00986CD3" w:rsidRPr="007C4E61">
        <w:rPr>
          <w:rFonts w:eastAsia="Calibri" w:cstheme="minorHAnsi"/>
          <w:b/>
          <w:sz w:val="24"/>
          <w:szCs w:val="24"/>
        </w:rPr>
        <w:t xml:space="preserve"> v počtu NKV provedených v krajích v roce 2023</w:t>
      </w:r>
    </w:p>
    <w:p w14:paraId="33D21247" w14:textId="77777777" w:rsidR="000675CC" w:rsidRPr="0056656A" w:rsidRDefault="00986CD3" w:rsidP="000675CC">
      <w:pPr>
        <w:spacing w:after="0" w:line="252" w:lineRule="auto"/>
        <w:contextualSpacing/>
        <w:rPr>
          <w:rFonts w:eastAsia="Calibri" w:cstheme="minorHAnsi"/>
          <w:b/>
          <w:sz w:val="6"/>
          <w:szCs w:val="6"/>
        </w:rPr>
      </w:pPr>
      <w:r w:rsidRPr="0056656A">
        <w:rPr>
          <w:rFonts w:eastAsia="Calibri" w:cstheme="minorHAnsi"/>
          <w:b/>
          <w:sz w:val="6"/>
          <w:szCs w:val="6"/>
        </w:rPr>
        <w:t xml:space="preserve"> </w:t>
      </w:r>
    </w:p>
    <w:p w14:paraId="1D140430" w14:textId="511CA6CD" w:rsidR="000675CC" w:rsidRDefault="000675CC" w:rsidP="003A306E">
      <w:pPr>
        <w:pBdr>
          <w:top w:val="single" w:sz="4" w:space="1" w:color="auto"/>
          <w:left w:val="single" w:sz="4" w:space="4" w:color="auto"/>
          <w:bottom w:val="single" w:sz="4" w:space="1" w:color="auto"/>
          <w:right w:val="single" w:sz="4" w:space="4" w:color="auto"/>
        </w:pBdr>
        <w:shd w:val="clear" w:color="auto" w:fill="E6E6E6"/>
        <w:spacing w:after="0" w:line="252" w:lineRule="auto"/>
        <w:contextualSpacing/>
        <w:jc w:val="both"/>
        <w:rPr>
          <w:rFonts w:cstheme="minorHAnsi"/>
          <w:sz w:val="24"/>
          <w:szCs w:val="24"/>
        </w:rPr>
      </w:pPr>
      <w:r>
        <w:rPr>
          <w:rFonts w:cstheme="minorHAnsi"/>
          <w:sz w:val="24"/>
          <w:szCs w:val="24"/>
        </w:rPr>
        <w:t>V roce</w:t>
      </w:r>
      <w:r w:rsidRPr="000A66DB">
        <w:rPr>
          <w:rFonts w:eastAsia="Calibri" w:cstheme="minorHAnsi"/>
          <w:sz w:val="24"/>
          <w:szCs w:val="24"/>
        </w:rPr>
        <w:t xml:space="preserve"> 2023 </w:t>
      </w:r>
      <w:r>
        <w:rPr>
          <w:rFonts w:eastAsia="Calibri" w:cstheme="minorHAnsi"/>
          <w:sz w:val="24"/>
          <w:szCs w:val="24"/>
        </w:rPr>
        <w:t>bylo na dálnicích v</w:t>
      </w:r>
      <w:r w:rsidR="00502260">
        <w:rPr>
          <w:rFonts w:eastAsia="Calibri" w:cstheme="minorHAnsi"/>
          <w:sz w:val="24"/>
          <w:szCs w:val="24"/>
        </w:rPr>
        <w:t xml:space="preserve"> K</w:t>
      </w:r>
      <w:r>
        <w:rPr>
          <w:rFonts w:eastAsia="Calibri" w:cstheme="minorHAnsi"/>
          <w:sz w:val="24"/>
          <w:szCs w:val="24"/>
        </w:rPr>
        <w:t xml:space="preserve">raji </w:t>
      </w:r>
      <w:r w:rsidR="0011697A">
        <w:rPr>
          <w:rFonts w:eastAsia="Calibri" w:cstheme="minorHAnsi"/>
          <w:sz w:val="24"/>
          <w:szCs w:val="24"/>
        </w:rPr>
        <w:t>Vysočina</w:t>
      </w:r>
      <w:r>
        <w:rPr>
          <w:rFonts w:eastAsia="Calibri" w:cstheme="minorHAnsi"/>
          <w:sz w:val="24"/>
          <w:szCs w:val="24"/>
        </w:rPr>
        <w:t xml:space="preserve"> </w:t>
      </w:r>
      <w:r w:rsidR="00253442">
        <w:rPr>
          <w:rFonts w:eastAsia="Calibri" w:cstheme="minorHAnsi"/>
          <w:sz w:val="24"/>
          <w:szCs w:val="24"/>
        </w:rPr>
        <w:t xml:space="preserve">za účasti CSPSD </w:t>
      </w:r>
      <w:r>
        <w:rPr>
          <w:rFonts w:eastAsia="Calibri" w:cstheme="minorHAnsi"/>
          <w:sz w:val="24"/>
          <w:szCs w:val="24"/>
        </w:rPr>
        <w:t>provedeno celkem 229 NKV, z toho 196 NKV vozidel kategorie N1, 30 NKV vozidel ostatních kategorií a 3 NKV se týkal</w:t>
      </w:r>
      <w:r w:rsidR="00502260">
        <w:rPr>
          <w:rFonts w:eastAsia="Calibri" w:cstheme="minorHAnsi"/>
          <w:sz w:val="24"/>
          <w:szCs w:val="24"/>
        </w:rPr>
        <w:t>a</w:t>
      </w:r>
      <w:r>
        <w:rPr>
          <w:rFonts w:eastAsia="Calibri" w:cstheme="minorHAnsi"/>
          <w:sz w:val="24"/>
          <w:szCs w:val="24"/>
        </w:rPr>
        <w:t xml:space="preserve"> nadměrných nákladů. Oproti tomu v Libereckém kraji nebylo </w:t>
      </w:r>
      <w:r w:rsidR="00253442">
        <w:rPr>
          <w:rFonts w:cstheme="minorHAnsi"/>
          <w:sz w:val="24"/>
          <w:szCs w:val="24"/>
        </w:rPr>
        <w:t>v roce</w:t>
      </w:r>
      <w:r w:rsidR="00253442" w:rsidRPr="000A66DB">
        <w:rPr>
          <w:rFonts w:eastAsia="Calibri" w:cstheme="minorHAnsi"/>
          <w:sz w:val="24"/>
          <w:szCs w:val="24"/>
        </w:rPr>
        <w:t xml:space="preserve"> 2023 </w:t>
      </w:r>
      <w:r>
        <w:rPr>
          <w:rFonts w:eastAsia="Calibri" w:cstheme="minorHAnsi"/>
          <w:sz w:val="24"/>
          <w:szCs w:val="24"/>
        </w:rPr>
        <w:t xml:space="preserve">provedeno žádné NKV. </w:t>
      </w:r>
      <w:r w:rsidR="0011697A">
        <w:rPr>
          <w:rFonts w:eastAsia="Calibri" w:cstheme="minorHAnsi"/>
          <w:sz w:val="24"/>
          <w:szCs w:val="24"/>
        </w:rPr>
        <w:t>V Ústeckém kraji to bylo celkem 5 NKV</w:t>
      </w:r>
      <w:r w:rsidR="00502260">
        <w:rPr>
          <w:rFonts w:eastAsia="Calibri" w:cstheme="minorHAnsi"/>
          <w:sz w:val="24"/>
          <w:szCs w:val="24"/>
        </w:rPr>
        <w:t>,</w:t>
      </w:r>
      <w:r w:rsidR="0011697A">
        <w:rPr>
          <w:rFonts w:eastAsia="Calibri" w:cstheme="minorHAnsi"/>
          <w:sz w:val="24"/>
          <w:szCs w:val="24"/>
        </w:rPr>
        <w:t xml:space="preserve"> z</w:t>
      </w:r>
      <w:r w:rsidR="00502260">
        <w:rPr>
          <w:rFonts w:eastAsia="Calibri" w:cstheme="minorHAnsi"/>
          <w:sz w:val="24"/>
          <w:szCs w:val="24"/>
        </w:rPr>
        <w:t xml:space="preserve"> </w:t>
      </w:r>
      <w:r w:rsidR="0011697A">
        <w:rPr>
          <w:rFonts w:eastAsia="Calibri" w:cstheme="minorHAnsi"/>
          <w:sz w:val="24"/>
          <w:szCs w:val="24"/>
        </w:rPr>
        <w:t xml:space="preserve">toho 2 NKV </w:t>
      </w:r>
      <w:r w:rsidR="00502260">
        <w:rPr>
          <w:rFonts w:eastAsia="Calibri" w:cstheme="minorHAnsi"/>
          <w:sz w:val="24"/>
          <w:szCs w:val="24"/>
        </w:rPr>
        <w:t xml:space="preserve">se týkala </w:t>
      </w:r>
      <w:r w:rsidR="0011697A">
        <w:rPr>
          <w:rFonts w:eastAsia="Calibri" w:cstheme="minorHAnsi"/>
          <w:sz w:val="24"/>
          <w:szCs w:val="24"/>
        </w:rPr>
        <w:t>vozidel kategorie N1 a</w:t>
      </w:r>
      <w:r w:rsidR="00502260">
        <w:rPr>
          <w:rFonts w:eastAsia="Calibri" w:cstheme="minorHAnsi"/>
          <w:sz w:val="24"/>
          <w:szCs w:val="24"/>
        </w:rPr>
        <w:t> </w:t>
      </w:r>
      <w:r w:rsidR="0011697A">
        <w:rPr>
          <w:rFonts w:eastAsia="Calibri" w:cstheme="minorHAnsi"/>
          <w:sz w:val="24"/>
          <w:szCs w:val="24"/>
        </w:rPr>
        <w:t>3</w:t>
      </w:r>
      <w:r w:rsidR="00502260">
        <w:rPr>
          <w:rFonts w:eastAsia="Calibri" w:cstheme="minorHAnsi"/>
          <w:sz w:val="24"/>
          <w:szCs w:val="24"/>
        </w:rPr>
        <w:t> </w:t>
      </w:r>
      <w:r w:rsidR="0011697A">
        <w:rPr>
          <w:rFonts w:eastAsia="Calibri" w:cstheme="minorHAnsi"/>
          <w:sz w:val="24"/>
          <w:szCs w:val="24"/>
        </w:rPr>
        <w:t>NKV ostatních kategorií</w:t>
      </w:r>
      <w:r w:rsidR="00253442" w:rsidRPr="00253442">
        <w:rPr>
          <w:rFonts w:eastAsia="Calibri" w:cstheme="minorHAnsi"/>
          <w:sz w:val="24"/>
          <w:szCs w:val="24"/>
        </w:rPr>
        <w:t xml:space="preserve"> </w:t>
      </w:r>
      <w:r w:rsidR="00253442">
        <w:rPr>
          <w:rFonts w:eastAsia="Calibri" w:cstheme="minorHAnsi"/>
          <w:sz w:val="24"/>
          <w:szCs w:val="24"/>
        </w:rPr>
        <w:t>vozidel</w:t>
      </w:r>
      <w:r w:rsidR="0011697A">
        <w:rPr>
          <w:rFonts w:eastAsia="Calibri" w:cstheme="minorHAnsi"/>
          <w:sz w:val="24"/>
          <w:szCs w:val="24"/>
        </w:rPr>
        <w:t>.</w:t>
      </w:r>
      <w:r w:rsidR="0011697A" w:rsidRPr="0011697A">
        <w:rPr>
          <w:rFonts w:eastAsia="Calibri" w:cstheme="minorHAnsi"/>
          <w:sz w:val="24"/>
          <w:szCs w:val="24"/>
        </w:rPr>
        <w:t xml:space="preserve"> </w:t>
      </w:r>
      <w:r w:rsidR="0011697A">
        <w:rPr>
          <w:rFonts w:eastAsia="Calibri" w:cstheme="minorHAnsi"/>
          <w:sz w:val="24"/>
          <w:szCs w:val="24"/>
        </w:rPr>
        <w:t>Ve Zlínském kraji bylo provedeno 7 NKV, všechna u vozidel kategorie N1.</w:t>
      </w:r>
    </w:p>
    <w:p w14:paraId="09F6F7B1" w14:textId="77777777" w:rsidR="002025E9" w:rsidRDefault="002025E9" w:rsidP="00CF7049">
      <w:pPr>
        <w:spacing w:after="0" w:line="252" w:lineRule="auto"/>
        <w:contextualSpacing/>
        <w:jc w:val="both"/>
        <w:rPr>
          <w:rFonts w:eastAsia="Calibri" w:cstheme="minorHAnsi"/>
          <w:sz w:val="24"/>
          <w:szCs w:val="24"/>
        </w:rPr>
      </w:pPr>
    </w:p>
    <w:p w14:paraId="7F681E18" w14:textId="53814BDC" w:rsidR="00CF7049" w:rsidRDefault="00FF1C2D" w:rsidP="00CF7049">
      <w:pPr>
        <w:spacing w:after="0" w:line="252" w:lineRule="auto"/>
        <w:contextualSpacing/>
        <w:jc w:val="both"/>
        <w:rPr>
          <w:rFonts w:cstheme="minorHAnsi"/>
          <w:i/>
        </w:rPr>
      </w:pPr>
      <w:r>
        <w:rPr>
          <w:rFonts w:eastAsia="Calibri" w:cstheme="minorHAnsi"/>
          <w:sz w:val="24"/>
          <w:szCs w:val="24"/>
        </w:rPr>
        <w:t>4.</w:t>
      </w:r>
      <w:r w:rsidR="00CE41BF">
        <w:rPr>
          <w:rFonts w:eastAsia="Calibri" w:cstheme="minorHAnsi"/>
          <w:sz w:val="24"/>
          <w:szCs w:val="24"/>
        </w:rPr>
        <w:t xml:space="preserve">55 </w:t>
      </w:r>
      <w:r w:rsidR="005C03BB">
        <w:rPr>
          <w:rFonts w:eastAsia="Calibri" w:cstheme="minorHAnsi"/>
          <w:sz w:val="24"/>
          <w:szCs w:val="24"/>
        </w:rPr>
        <w:t>N</w:t>
      </w:r>
      <w:r w:rsidR="00CF7049">
        <w:rPr>
          <w:rFonts w:eastAsia="Calibri" w:cstheme="minorHAnsi"/>
          <w:sz w:val="24"/>
          <w:szCs w:val="24"/>
        </w:rPr>
        <w:t>euspokojivá situace v provádění NKV bude</w:t>
      </w:r>
      <w:r w:rsidR="000D3F5C">
        <w:rPr>
          <w:rFonts w:eastAsia="Calibri" w:cstheme="minorHAnsi"/>
          <w:sz w:val="24"/>
          <w:szCs w:val="24"/>
        </w:rPr>
        <w:t xml:space="preserve"> podle MD</w:t>
      </w:r>
      <w:r w:rsidR="00CF7049">
        <w:rPr>
          <w:rFonts w:eastAsia="Calibri" w:cstheme="minorHAnsi"/>
          <w:sz w:val="24"/>
          <w:szCs w:val="24"/>
        </w:rPr>
        <w:t xml:space="preserve"> vyřešena vznik</w:t>
      </w:r>
      <w:r w:rsidR="000D3F5C">
        <w:rPr>
          <w:rFonts w:eastAsia="Calibri" w:cstheme="minorHAnsi"/>
          <w:sz w:val="24"/>
          <w:szCs w:val="24"/>
        </w:rPr>
        <w:t>em</w:t>
      </w:r>
      <w:r w:rsidR="00CF7049">
        <w:rPr>
          <w:rFonts w:eastAsia="Calibri" w:cstheme="minorHAnsi"/>
          <w:sz w:val="24"/>
          <w:szCs w:val="24"/>
        </w:rPr>
        <w:t xml:space="preserve"> </w:t>
      </w:r>
      <w:r w:rsidR="00CF7049" w:rsidRPr="00331598">
        <w:rPr>
          <w:rFonts w:eastAsia="Calibri" w:cstheme="minorHAnsi"/>
          <w:sz w:val="24"/>
          <w:szCs w:val="24"/>
        </w:rPr>
        <w:t>Inspekce silniční dopravy</w:t>
      </w:r>
      <w:r w:rsidR="00CF7049">
        <w:rPr>
          <w:rFonts w:eastAsia="Calibri" w:cstheme="minorHAnsi"/>
          <w:sz w:val="24"/>
          <w:szCs w:val="24"/>
        </w:rPr>
        <w:t xml:space="preserve">. NKÚ připravovanou </w:t>
      </w:r>
      <w:r w:rsidR="00BD0C4C">
        <w:rPr>
          <w:rFonts w:eastAsia="Calibri" w:cstheme="minorHAnsi"/>
          <w:sz w:val="24"/>
          <w:szCs w:val="24"/>
        </w:rPr>
        <w:t>úpravu</w:t>
      </w:r>
      <w:r w:rsidR="00CF7049">
        <w:rPr>
          <w:rFonts w:eastAsia="Calibri" w:cstheme="minorHAnsi"/>
          <w:sz w:val="24"/>
          <w:szCs w:val="24"/>
        </w:rPr>
        <w:t xml:space="preserve"> podmínek a způsobu provádění NKV nekontroloval, neboť v době ukončení kontroly nebyla </w:t>
      </w:r>
      <w:r w:rsidR="00253442">
        <w:rPr>
          <w:rFonts w:eastAsia="Calibri" w:cstheme="minorHAnsi"/>
          <w:sz w:val="24"/>
          <w:szCs w:val="24"/>
        </w:rPr>
        <w:t>známa její finální podoba</w:t>
      </w:r>
      <w:r w:rsidR="00034E63">
        <w:rPr>
          <w:rFonts w:eastAsia="Calibri" w:cstheme="minorHAnsi"/>
          <w:sz w:val="24"/>
          <w:szCs w:val="24"/>
        </w:rPr>
        <w:t xml:space="preserve">, která by byla </w:t>
      </w:r>
      <w:r w:rsidR="00CF7049">
        <w:rPr>
          <w:rFonts w:eastAsia="Calibri" w:cstheme="minorHAnsi"/>
          <w:sz w:val="24"/>
          <w:szCs w:val="24"/>
        </w:rPr>
        <w:t>podložen</w:t>
      </w:r>
      <w:r w:rsidR="00034E63">
        <w:rPr>
          <w:rFonts w:eastAsia="Calibri" w:cstheme="minorHAnsi"/>
          <w:sz w:val="24"/>
          <w:szCs w:val="24"/>
        </w:rPr>
        <w:t>a</w:t>
      </w:r>
      <w:r w:rsidR="00CF7049">
        <w:rPr>
          <w:rFonts w:eastAsia="Calibri" w:cstheme="minorHAnsi"/>
          <w:sz w:val="24"/>
          <w:szCs w:val="24"/>
        </w:rPr>
        <w:t xml:space="preserve"> </w:t>
      </w:r>
      <w:r w:rsidR="00034E63">
        <w:rPr>
          <w:rFonts w:eastAsia="Calibri" w:cstheme="minorHAnsi"/>
          <w:sz w:val="24"/>
          <w:szCs w:val="24"/>
        </w:rPr>
        <w:t xml:space="preserve">potřebnou </w:t>
      </w:r>
      <w:r w:rsidR="00BD0C4C">
        <w:rPr>
          <w:rFonts w:eastAsia="Calibri" w:cstheme="minorHAnsi"/>
          <w:sz w:val="24"/>
          <w:szCs w:val="24"/>
        </w:rPr>
        <w:t xml:space="preserve">změnou </w:t>
      </w:r>
      <w:r w:rsidR="00FA1699">
        <w:rPr>
          <w:rFonts w:eastAsia="Calibri" w:cstheme="minorHAnsi"/>
          <w:sz w:val="24"/>
          <w:szCs w:val="24"/>
        </w:rPr>
        <w:t>právních předpisů</w:t>
      </w:r>
      <w:r w:rsidR="00CF7049">
        <w:rPr>
          <w:rStyle w:val="Znakapoznpodarou"/>
          <w:rFonts w:eastAsia="Calibri" w:cstheme="minorHAnsi"/>
          <w:sz w:val="24"/>
          <w:szCs w:val="24"/>
        </w:rPr>
        <w:footnoteReference w:id="33"/>
      </w:r>
      <w:r w:rsidR="00CF7049">
        <w:rPr>
          <w:rFonts w:eastAsia="Calibri" w:cstheme="minorHAnsi"/>
          <w:sz w:val="24"/>
          <w:szCs w:val="24"/>
        </w:rPr>
        <w:t>.</w:t>
      </w:r>
      <w:r w:rsidR="000D3F5C">
        <w:rPr>
          <w:rFonts w:eastAsia="Calibri" w:cstheme="minorHAnsi"/>
          <w:sz w:val="24"/>
          <w:szCs w:val="24"/>
        </w:rPr>
        <w:t xml:space="preserve"> Jedním z</w:t>
      </w:r>
      <w:r w:rsidR="0063328B">
        <w:rPr>
          <w:rFonts w:eastAsia="Calibri" w:cstheme="minorHAnsi"/>
          <w:sz w:val="24"/>
          <w:szCs w:val="24"/>
        </w:rPr>
        <w:t xml:space="preserve"> </w:t>
      </w:r>
      <w:r w:rsidR="000D3F5C">
        <w:rPr>
          <w:rFonts w:eastAsia="Calibri" w:cstheme="minorHAnsi"/>
          <w:sz w:val="24"/>
          <w:szCs w:val="24"/>
        </w:rPr>
        <w:t xml:space="preserve">nezbytných předpokladů pro změnu </w:t>
      </w:r>
      <w:r w:rsidR="0028088D">
        <w:rPr>
          <w:rFonts w:eastAsia="Calibri" w:cstheme="minorHAnsi"/>
          <w:sz w:val="24"/>
          <w:szCs w:val="24"/>
        </w:rPr>
        <w:br/>
      </w:r>
      <w:r w:rsidR="000D3F5C">
        <w:rPr>
          <w:rFonts w:eastAsia="Calibri" w:cstheme="minorHAnsi"/>
          <w:sz w:val="24"/>
          <w:szCs w:val="24"/>
        </w:rPr>
        <w:t xml:space="preserve">v provádění NKV </w:t>
      </w:r>
      <w:r w:rsidR="00253442">
        <w:rPr>
          <w:rFonts w:eastAsia="Calibri" w:cstheme="minorHAnsi"/>
          <w:sz w:val="24"/>
          <w:szCs w:val="24"/>
        </w:rPr>
        <w:t xml:space="preserve">ovšem </w:t>
      </w:r>
      <w:r w:rsidR="000D3F5C">
        <w:rPr>
          <w:rFonts w:eastAsia="Calibri" w:cstheme="minorHAnsi"/>
          <w:sz w:val="24"/>
          <w:szCs w:val="24"/>
        </w:rPr>
        <w:t>bude kromě zajištění</w:t>
      </w:r>
      <w:r w:rsidR="00B86F54">
        <w:rPr>
          <w:rFonts w:eastAsia="Calibri" w:cstheme="minorHAnsi"/>
          <w:sz w:val="24"/>
          <w:szCs w:val="24"/>
        </w:rPr>
        <w:t xml:space="preserve"> </w:t>
      </w:r>
      <w:r w:rsidR="00B86F54" w:rsidRPr="00B86F54">
        <w:rPr>
          <w:rFonts w:eastAsia="Calibri" w:cstheme="minorHAnsi"/>
          <w:sz w:val="24"/>
          <w:szCs w:val="24"/>
        </w:rPr>
        <w:t>potřebného</w:t>
      </w:r>
      <w:r w:rsidR="00B86F54">
        <w:rPr>
          <w:rFonts w:eastAsia="Calibri" w:cstheme="minorHAnsi"/>
          <w:sz w:val="24"/>
          <w:szCs w:val="24"/>
        </w:rPr>
        <w:t xml:space="preserve"> </w:t>
      </w:r>
      <w:r w:rsidR="000D3F5C">
        <w:rPr>
          <w:rFonts w:eastAsia="Calibri" w:cstheme="minorHAnsi"/>
          <w:sz w:val="24"/>
          <w:szCs w:val="24"/>
        </w:rPr>
        <w:t xml:space="preserve">materiálně-technického </w:t>
      </w:r>
      <w:r w:rsidR="00D70238">
        <w:rPr>
          <w:rFonts w:eastAsia="Calibri" w:cstheme="minorHAnsi"/>
          <w:sz w:val="24"/>
          <w:szCs w:val="24"/>
        </w:rPr>
        <w:br/>
      </w:r>
      <w:r w:rsidR="000D3F5C">
        <w:rPr>
          <w:rFonts w:eastAsia="Calibri" w:cstheme="minorHAnsi"/>
          <w:sz w:val="24"/>
          <w:szCs w:val="24"/>
        </w:rPr>
        <w:lastRenderedPageBreak/>
        <w:t>a personálního vybavení i existence dostatku vhodných kontrolních stanovišť, která budou splňovat požadavky na provádění NKV.</w:t>
      </w:r>
      <w:r w:rsidR="000E6CE1">
        <w:rPr>
          <w:rFonts w:eastAsia="Calibri" w:cstheme="minorHAnsi"/>
          <w:sz w:val="24"/>
          <w:szCs w:val="24"/>
        </w:rPr>
        <w:t xml:space="preserve"> V</w:t>
      </w:r>
      <w:r w:rsidR="002141B0">
        <w:rPr>
          <w:rFonts w:eastAsia="Calibri" w:cstheme="minorHAnsi"/>
          <w:sz w:val="24"/>
          <w:szCs w:val="24"/>
        </w:rPr>
        <w:t xml:space="preserve"> </w:t>
      </w:r>
      <w:r w:rsidR="000E6CE1">
        <w:rPr>
          <w:rFonts w:eastAsia="Calibri" w:cstheme="minorHAnsi"/>
          <w:sz w:val="24"/>
          <w:szCs w:val="24"/>
        </w:rPr>
        <w:t xml:space="preserve">roce 2024 ŘSD evidovalo </w:t>
      </w:r>
      <w:r w:rsidR="002D7720">
        <w:rPr>
          <w:rFonts w:eastAsia="Calibri" w:cstheme="minorHAnsi"/>
          <w:sz w:val="24"/>
          <w:szCs w:val="24"/>
        </w:rPr>
        <w:t>313 lokalit vhodných k provádění NKV, z</w:t>
      </w:r>
      <w:r w:rsidR="00D70238">
        <w:rPr>
          <w:rFonts w:eastAsia="Calibri" w:cstheme="minorHAnsi"/>
          <w:sz w:val="24"/>
          <w:szCs w:val="24"/>
        </w:rPr>
        <w:t> </w:t>
      </w:r>
      <w:r w:rsidR="002D7720">
        <w:rPr>
          <w:rFonts w:eastAsia="Calibri" w:cstheme="minorHAnsi"/>
          <w:sz w:val="24"/>
          <w:szCs w:val="24"/>
        </w:rPr>
        <w:t>toho</w:t>
      </w:r>
      <w:r w:rsidR="00D70238">
        <w:rPr>
          <w:rFonts w:eastAsia="Calibri" w:cstheme="minorHAnsi"/>
          <w:sz w:val="24"/>
          <w:szCs w:val="24"/>
        </w:rPr>
        <w:t xml:space="preserve"> </w:t>
      </w:r>
      <w:r w:rsidR="002D7720">
        <w:rPr>
          <w:rFonts w:eastAsia="Calibri" w:cstheme="minorHAnsi"/>
          <w:sz w:val="24"/>
          <w:szCs w:val="24"/>
        </w:rPr>
        <w:t xml:space="preserve">70 na </w:t>
      </w:r>
      <w:r w:rsidR="002D7720" w:rsidRPr="00A83EFC">
        <w:rPr>
          <w:rFonts w:eastAsia="Calibri" w:cstheme="minorHAnsi"/>
          <w:sz w:val="24"/>
          <w:szCs w:val="24"/>
        </w:rPr>
        <w:t>dálnicích.</w:t>
      </w:r>
      <w:r w:rsidR="003905AF" w:rsidRPr="00A83EFC">
        <w:rPr>
          <w:rFonts w:eastAsia="Calibri" w:cstheme="minorHAnsi"/>
          <w:sz w:val="24"/>
          <w:szCs w:val="24"/>
        </w:rPr>
        <w:t xml:space="preserve"> </w:t>
      </w:r>
      <w:r w:rsidR="00B86F54" w:rsidRPr="00B86F54">
        <w:rPr>
          <w:rFonts w:eastAsia="Calibri" w:cstheme="minorHAnsi"/>
          <w:sz w:val="24"/>
          <w:szCs w:val="24"/>
        </w:rPr>
        <w:t>Není přitom zřejmé, zda a popř. jak se změna dotkne využití VKV pro přímý postih, resp.</w:t>
      </w:r>
      <w:r w:rsidR="00B86F54">
        <w:rPr>
          <w:rFonts w:eastAsia="Calibri" w:cstheme="minorHAnsi"/>
          <w:sz w:val="24"/>
          <w:szCs w:val="24"/>
        </w:rPr>
        <w:t xml:space="preserve"> </w:t>
      </w:r>
      <w:r w:rsidR="00C1024C" w:rsidRPr="00A83EFC">
        <w:rPr>
          <w:rFonts w:eastAsia="Calibri" w:cstheme="minorHAnsi"/>
          <w:sz w:val="24"/>
          <w:szCs w:val="24"/>
        </w:rPr>
        <w:t>pro předvýběr přetížených vozidel v součinnosti s NKV (viz</w:t>
      </w:r>
      <w:r w:rsidR="0063328B">
        <w:rPr>
          <w:rFonts w:eastAsia="Calibri" w:cstheme="minorHAnsi"/>
          <w:sz w:val="24"/>
          <w:szCs w:val="24"/>
        </w:rPr>
        <w:t> </w:t>
      </w:r>
      <w:r w:rsidR="00C1024C" w:rsidRPr="00A83EFC">
        <w:rPr>
          <w:rFonts w:eastAsia="Calibri" w:cstheme="minorHAnsi"/>
          <w:sz w:val="24"/>
          <w:szCs w:val="24"/>
        </w:rPr>
        <w:t>odst. 2.14)</w:t>
      </w:r>
      <w:r w:rsidR="003905AF" w:rsidRPr="00A83EFC">
        <w:rPr>
          <w:rFonts w:eastAsia="Calibri" w:cstheme="minorHAnsi"/>
          <w:sz w:val="24"/>
          <w:szCs w:val="24"/>
        </w:rPr>
        <w:t>.</w:t>
      </w:r>
    </w:p>
    <w:p w14:paraId="58578870" w14:textId="77777777" w:rsidR="000C3D24" w:rsidRPr="002C4E3B" w:rsidRDefault="000C3D24" w:rsidP="002C4E3B">
      <w:pPr>
        <w:spacing w:after="0" w:line="252" w:lineRule="auto"/>
        <w:contextualSpacing/>
        <w:rPr>
          <w:rFonts w:eastAsia="Calibri" w:cstheme="minorHAnsi"/>
          <w:sz w:val="24"/>
          <w:szCs w:val="24"/>
        </w:rPr>
      </w:pPr>
    </w:p>
    <w:p w14:paraId="311A0522" w14:textId="77777777" w:rsidR="009962CB" w:rsidRPr="002C4E3B" w:rsidRDefault="00831C02" w:rsidP="004A60EB">
      <w:pPr>
        <w:pStyle w:val="Odstavecseseznamem"/>
        <w:numPr>
          <w:ilvl w:val="0"/>
          <w:numId w:val="37"/>
        </w:numPr>
        <w:spacing w:after="0" w:line="252" w:lineRule="auto"/>
        <w:jc w:val="both"/>
        <w:rPr>
          <w:rFonts w:eastAsia="Calibri" w:cstheme="minorHAnsi"/>
          <w:b/>
          <w:i/>
          <w:color w:val="4472C4" w:themeColor="accent5"/>
          <w:sz w:val="24"/>
          <w:szCs w:val="24"/>
        </w:rPr>
      </w:pPr>
      <w:r w:rsidRPr="002C4E3B">
        <w:rPr>
          <w:rFonts w:eastAsia="Calibri" w:cstheme="minorHAnsi"/>
          <w:b/>
          <w:i/>
          <w:color w:val="4472C4" w:themeColor="accent5"/>
          <w:sz w:val="24"/>
          <w:szCs w:val="24"/>
        </w:rPr>
        <w:t>Systém kontrolního vážení není účinný, j</w:t>
      </w:r>
      <w:r w:rsidR="008A64AC" w:rsidRPr="002C4E3B">
        <w:rPr>
          <w:rFonts w:eastAsia="Calibri" w:cstheme="minorHAnsi"/>
          <w:b/>
          <w:i/>
          <w:color w:val="4472C4" w:themeColor="accent5"/>
          <w:sz w:val="24"/>
          <w:szCs w:val="24"/>
        </w:rPr>
        <w:t>ízdy přetížených vozidel se nepodařilo omezit</w:t>
      </w:r>
      <w:r w:rsidR="00CE104C">
        <w:rPr>
          <w:rFonts w:eastAsia="Calibri" w:cstheme="minorHAnsi"/>
          <w:b/>
          <w:i/>
          <w:color w:val="4472C4" w:themeColor="accent5"/>
          <w:sz w:val="24"/>
          <w:szCs w:val="24"/>
        </w:rPr>
        <w:t>.</w:t>
      </w:r>
    </w:p>
    <w:p w14:paraId="4E43B807" w14:textId="77777777" w:rsidR="003B4C32" w:rsidRDefault="003B4C32" w:rsidP="002C4E3B">
      <w:pPr>
        <w:spacing w:after="0" w:line="252" w:lineRule="auto"/>
        <w:contextualSpacing/>
        <w:jc w:val="both"/>
        <w:rPr>
          <w:rFonts w:cstheme="minorHAnsi"/>
          <w:sz w:val="24"/>
          <w:szCs w:val="24"/>
        </w:rPr>
      </w:pPr>
    </w:p>
    <w:p w14:paraId="16F7B3BF" w14:textId="6C92C36E" w:rsidR="00825D72" w:rsidRDefault="00FF1C2D" w:rsidP="00825D72">
      <w:pPr>
        <w:spacing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56 </w:t>
      </w:r>
      <w:r w:rsidR="00C1024C">
        <w:rPr>
          <w:rFonts w:cstheme="minorHAnsi"/>
          <w:sz w:val="24"/>
          <w:szCs w:val="24"/>
        </w:rPr>
        <w:t>NKÚ</w:t>
      </w:r>
      <w:r>
        <w:rPr>
          <w:rFonts w:cstheme="minorHAnsi"/>
          <w:sz w:val="24"/>
          <w:szCs w:val="24"/>
        </w:rPr>
        <w:t xml:space="preserve"> </w:t>
      </w:r>
      <w:r w:rsidR="00C1024C">
        <w:rPr>
          <w:rFonts w:cstheme="minorHAnsi"/>
          <w:sz w:val="24"/>
          <w:szCs w:val="24"/>
        </w:rPr>
        <w:t>s</w:t>
      </w:r>
      <w:r w:rsidR="002C18EE">
        <w:rPr>
          <w:rFonts w:cstheme="minorHAnsi"/>
          <w:sz w:val="24"/>
          <w:szCs w:val="24"/>
        </w:rPr>
        <w:t xml:space="preserve"> </w:t>
      </w:r>
      <w:r w:rsidR="00C1024C">
        <w:rPr>
          <w:rFonts w:cstheme="minorHAnsi"/>
          <w:sz w:val="24"/>
          <w:szCs w:val="24"/>
        </w:rPr>
        <w:t xml:space="preserve">odkazem na zjištění </w:t>
      </w:r>
      <w:r w:rsidR="00502260">
        <w:rPr>
          <w:rFonts w:cstheme="minorHAnsi"/>
          <w:sz w:val="24"/>
          <w:szCs w:val="24"/>
        </w:rPr>
        <w:t>popsaná v</w:t>
      </w:r>
      <w:r w:rsidR="002C18EE">
        <w:rPr>
          <w:rFonts w:cstheme="minorHAnsi"/>
          <w:sz w:val="24"/>
          <w:szCs w:val="24"/>
        </w:rPr>
        <w:t xml:space="preserve"> </w:t>
      </w:r>
      <w:r w:rsidR="00502260">
        <w:rPr>
          <w:rFonts w:cstheme="minorHAnsi"/>
          <w:sz w:val="24"/>
          <w:szCs w:val="24"/>
        </w:rPr>
        <w:t xml:space="preserve">předchozích odstavcích </w:t>
      </w:r>
      <w:r w:rsidR="00C1024C">
        <w:rPr>
          <w:rFonts w:cstheme="minorHAnsi"/>
          <w:sz w:val="24"/>
          <w:szCs w:val="24"/>
        </w:rPr>
        <w:t>této části kontrolního závěru shrnuje, že ú</w:t>
      </w:r>
      <w:r w:rsidR="00C1024C" w:rsidRPr="00A508F5">
        <w:rPr>
          <w:rFonts w:cstheme="minorHAnsi"/>
          <w:sz w:val="24"/>
          <w:szCs w:val="24"/>
        </w:rPr>
        <w:t>č</w:t>
      </w:r>
      <w:r w:rsidR="00C1024C">
        <w:rPr>
          <w:rFonts w:cstheme="minorHAnsi"/>
          <w:sz w:val="24"/>
          <w:szCs w:val="24"/>
        </w:rPr>
        <w:t>elnost</w:t>
      </w:r>
      <w:r w:rsidR="00C1024C" w:rsidRPr="00A508F5">
        <w:rPr>
          <w:rFonts w:cstheme="minorHAnsi"/>
          <w:sz w:val="24"/>
          <w:szCs w:val="24"/>
        </w:rPr>
        <w:t xml:space="preserve"> </w:t>
      </w:r>
      <w:r w:rsidR="008F0628" w:rsidRPr="00A508F5">
        <w:rPr>
          <w:rFonts w:cstheme="minorHAnsi"/>
          <w:sz w:val="24"/>
          <w:szCs w:val="24"/>
        </w:rPr>
        <w:t xml:space="preserve">systému VKV při zjišťování a řešení vážních deliktů byla velmi nízká. </w:t>
      </w:r>
      <w:r w:rsidR="00034E63" w:rsidRPr="00A508F5">
        <w:rPr>
          <w:rFonts w:cstheme="minorHAnsi"/>
          <w:sz w:val="24"/>
          <w:szCs w:val="24"/>
        </w:rPr>
        <w:t>S</w:t>
      </w:r>
      <w:r w:rsidR="008F0628" w:rsidRPr="00A508F5">
        <w:rPr>
          <w:rFonts w:cstheme="minorHAnsi"/>
          <w:sz w:val="24"/>
          <w:szCs w:val="24"/>
        </w:rPr>
        <w:t xml:space="preserve">nížena </w:t>
      </w:r>
      <w:r w:rsidR="00034E63" w:rsidRPr="00A508F5">
        <w:rPr>
          <w:rFonts w:cstheme="minorHAnsi"/>
          <w:sz w:val="24"/>
          <w:szCs w:val="24"/>
        </w:rPr>
        <w:t xml:space="preserve">byla </w:t>
      </w:r>
      <w:r w:rsidR="008F0628" w:rsidRPr="00A508F5">
        <w:rPr>
          <w:rFonts w:cstheme="minorHAnsi"/>
          <w:sz w:val="24"/>
          <w:szCs w:val="24"/>
        </w:rPr>
        <w:t xml:space="preserve">jednak omezením způsobilosti vah provádět VKV po značnou část doby </w:t>
      </w:r>
      <w:r w:rsidR="00096462" w:rsidRPr="00A508F5">
        <w:rPr>
          <w:rFonts w:cstheme="minorHAnsi"/>
          <w:sz w:val="24"/>
          <w:szCs w:val="24"/>
        </w:rPr>
        <w:t>jejich</w:t>
      </w:r>
      <w:r w:rsidR="008F0628" w:rsidRPr="00A508F5">
        <w:rPr>
          <w:rFonts w:cstheme="minorHAnsi"/>
          <w:sz w:val="24"/>
          <w:szCs w:val="24"/>
        </w:rPr>
        <w:t xml:space="preserve"> užívání (viz tabulka č. 2) a dále i tím, že značn</w:t>
      </w:r>
      <w:r w:rsidR="00A26395">
        <w:rPr>
          <w:rFonts w:cstheme="minorHAnsi"/>
          <w:sz w:val="24"/>
          <w:szCs w:val="24"/>
        </w:rPr>
        <w:t>ou</w:t>
      </w:r>
      <w:r w:rsidR="008F0628" w:rsidRPr="00A508F5">
        <w:rPr>
          <w:rFonts w:cstheme="minorHAnsi"/>
          <w:sz w:val="24"/>
          <w:szCs w:val="24"/>
        </w:rPr>
        <w:t xml:space="preserve"> část vážních deliktů zjištěných váhami způsobilými provádět VKV nebylo </w:t>
      </w:r>
      <w:r w:rsidR="00502260" w:rsidRPr="00A508F5">
        <w:rPr>
          <w:rFonts w:cstheme="minorHAnsi"/>
          <w:sz w:val="24"/>
          <w:szCs w:val="24"/>
        </w:rPr>
        <w:t xml:space="preserve">ŘSD </w:t>
      </w:r>
      <w:r w:rsidR="008F0628" w:rsidRPr="00A508F5">
        <w:rPr>
          <w:rFonts w:cstheme="minorHAnsi"/>
          <w:sz w:val="24"/>
          <w:szCs w:val="24"/>
        </w:rPr>
        <w:t>schopno předat ORP k dalšímu řešení v přestupkovém řízení (viz tabulka č. 3). O nízké úspěšnosti postih</w:t>
      </w:r>
      <w:r w:rsidR="00502260">
        <w:rPr>
          <w:rFonts w:cstheme="minorHAnsi"/>
          <w:sz w:val="24"/>
          <w:szCs w:val="24"/>
        </w:rPr>
        <w:t>ování</w:t>
      </w:r>
      <w:r w:rsidR="008F0628" w:rsidRPr="00A508F5">
        <w:rPr>
          <w:rFonts w:cstheme="minorHAnsi"/>
          <w:sz w:val="24"/>
          <w:szCs w:val="24"/>
        </w:rPr>
        <w:t xml:space="preserve"> zjištěných vážních deliktů svědčí velmi nízké příjmy SFDI z pokut z VKV (viz tabulky č. 5 a č. 6).</w:t>
      </w:r>
      <w:r w:rsidR="00B77539" w:rsidRPr="00A508F5">
        <w:rPr>
          <w:rFonts w:eastAsia="Calibri" w:cstheme="minorHAnsi"/>
          <w:sz w:val="24"/>
          <w:szCs w:val="24"/>
        </w:rPr>
        <w:t xml:space="preserve"> </w:t>
      </w:r>
      <w:r w:rsidR="00AC14E7" w:rsidRPr="00A508F5">
        <w:rPr>
          <w:rFonts w:cstheme="minorHAnsi"/>
          <w:sz w:val="24"/>
          <w:szCs w:val="24"/>
        </w:rPr>
        <w:t>Počet</w:t>
      </w:r>
      <w:r w:rsidR="00B77539" w:rsidRPr="00A508F5">
        <w:rPr>
          <w:rFonts w:cstheme="minorHAnsi"/>
          <w:sz w:val="24"/>
          <w:szCs w:val="24"/>
        </w:rPr>
        <w:t xml:space="preserve"> prováděných </w:t>
      </w:r>
      <w:r w:rsidR="00B20289" w:rsidRPr="00A508F5">
        <w:rPr>
          <w:rFonts w:cstheme="minorHAnsi"/>
          <w:sz w:val="24"/>
          <w:szCs w:val="24"/>
        </w:rPr>
        <w:t xml:space="preserve">NKV </w:t>
      </w:r>
      <w:r w:rsidR="00B77539" w:rsidRPr="00A508F5">
        <w:rPr>
          <w:rFonts w:cstheme="minorHAnsi"/>
          <w:sz w:val="24"/>
          <w:szCs w:val="24"/>
        </w:rPr>
        <w:t>byl nízký a</w:t>
      </w:r>
      <w:r w:rsidR="002C18EE">
        <w:rPr>
          <w:rFonts w:cstheme="minorHAnsi"/>
          <w:sz w:val="24"/>
          <w:szCs w:val="24"/>
        </w:rPr>
        <w:t> </w:t>
      </w:r>
      <w:r w:rsidR="00B77539" w:rsidRPr="00A508F5">
        <w:rPr>
          <w:rFonts w:cstheme="minorHAnsi"/>
          <w:sz w:val="24"/>
          <w:szCs w:val="24"/>
        </w:rPr>
        <w:t xml:space="preserve">nebyl zaměřen </w:t>
      </w:r>
      <w:r w:rsidR="00CE104C" w:rsidRPr="00A508F5">
        <w:rPr>
          <w:rFonts w:cstheme="minorHAnsi"/>
          <w:sz w:val="24"/>
          <w:szCs w:val="24"/>
        </w:rPr>
        <w:t xml:space="preserve">na </w:t>
      </w:r>
      <w:r w:rsidR="00B77539" w:rsidRPr="00A508F5">
        <w:rPr>
          <w:rFonts w:cstheme="minorHAnsi"/>
          <w:sz w:val="24"/>
          <w:szCs w:val="24"/>
        </w:rPr>
        <w:t xml:space="preserve">kategorie vozidel, jejichž přetížení má na dopravní infrastrukturu největší destrukční </w:t>
      </w:r>
      <w:r w:rsidR="00B77539" w:rsidRPr="000F4B0E">
        <w:rPr>
          <w:rFonts w:cstheme="minorHAnsi"/>
          <w:sz w:val="24"/>
          <w:szCs w:val="24"/>
        </w:rPr>
        <w:t>účinek (viz odst</w:t>
      </w:r>
      <w:r w:rsidR="00AB0823" w:rsidRPr="000F4B0E">
        <w:rPr>
          <w:rFonts w:cstheme="minorHAnsi"/>
          <w:sz w:val="24"/>
          <w:szCs w:val="24"/>
        </w:rPr>
        <w:t>.</w:t>
      </w:r>
      <w:r w:rsidR="00B77539" w:rsidRPr="000F4B0E">
        <w:rPr>
          <w:rFonts w:cstheme="minorHAnsi"/>
          <w:sz w:val="24"/>
          <w:szCs w:val="24"/>
        </w:rPr>
        <w:t xml:space="preserve"> </w:t>
      </w:r>
      <w:r w:rsidR="00CE0939" w:rsidRPr="000F4B0E">
        <w:rPr>
          <w:rFonts w:cstheme="minorHAnsi"/>
          <w:sz w:val="24"/>
          <w:szCs w:val="24"/>
        </w:rPr>
        <w:t>4.</w:t>
      </w:r>
      <w:r w:rsidR="00841D4F" w:rsidRPr="000F4B0E">
        <w:rPr>
          <w:rFonts w:cstheme="minorHAnsi"/>
          <w:sz w:val="24"/>
          <w:szCs w:val="24"/>
        </w:rPr>
        <w:t>5</w:t>
      </w:r>
      <w:r w:rsidR="00841D4F">
        <w:rPr>
          <w:rFonts w:cstheme="minorHAnsi"/>
          <w:sz w:val="24"/>
          <w:szCs w:val="24"/>
        </w:rPr>
        <w:t>2</w:t>
      </w:r>
      <w:r w:rsidR="00B77539" w:rsidRPr="000F4B0E">
        <w:rPr>
          <w:rFonts w:cstheme="minorHAnsi"/>
          <w:sz w:val="24"/>
          <w:szCs w:val="24"/>
        </w:rPr>
        <w:t>).</w:t>
      </w:r>
      <w:r w:rsidR="00825D72">
        <w:rPr>
          <w:rFonts w:eastAsia="Calibri" w:cstheme="minorHAnsi"/>
          <w:sz w:val="24"/>
          <w:szCs w:val="24"/>
        </w:rPr>
        <w:t xml:space="preserve"> </w:t>
      </w:r>
      <w:r w:rsidR="00B77539" w:rsidRPr="007F0F97">
        <w:rPr>
          <w:rFonts w:cstheme="minorHAnsi"/>
          <w:sz w:val="24"/>
          <w:szCs w:val="24"/>
        </w:rPr>
        <w:t>MD ve spolupráci s ŘSD nezajistilo nastavení a provozování systému kontrolního vážení tak, aby vedl k účinné represi a prevenci jízd přetížených vozidel a</w:t>
      </w:r>
      <w:r w:rsidR="00CE78E3">
        <w:rPr>
          <w:rFonts w:cstheme="minorHAnsi"/>
          <w:sz w:val="24"/>
          <w:szCs w:val="24"/>
        </w:rPr>
        <w:t> </w:t>
      </w:r>
      <w:r w:rsidR="00CE0939">
        <w:rPr>
          <w:rFonts w:cstheme="minorHAnsi"/>
          <w:sz w:val="24"/>
          <w:szCs w:val="24"/>
        </w:rPr>
        <w:t xml:space="preserve">aby </w:t>
      </w:r>
      <w:r w:rsidR="00B77539" w:rsidRPr="007F0F97">
        <w:rPr>
          <w:rFonts w:cstheme="minorHAnsi"/>
          <w:sz w:val="24"/>
          <w:szCs w:val="24"/>
        </w:rPr>
        <w:t>omezil poškozování dálnic a silnic I. tříd</w:t>
      </w:r>
      <w:r w:rsidR="00E25BCF">
        <w:rPr>
          <w:rFonts w:cstheme="minorHAnsi"/>
          <w:sz w:val="24"/>
          <w:szCs w:val="24"/>
        </w:rPr>
        <w:t>y</w:t>
      </w:r>
      <w:r w:rsidR="00B77539" w:rsidRPr="007F0F97">
        <w:rPr>
          <w:rFonts w:cstheme="minorHAnsi"/>
          <w:sz w:val="24"/>
          <w:szCs w:val="24"/>
        </w:rPr>
        <w:t xml:space="preserve">. </w:t>
      </w:r>
    </w:p>
    <w:p w14:paraId="37B759A3" w14:textId="77777777" w:rsidR="00825D72" w:rsidRDefault="00825D72" w:rsidP="00825D72">
      <w:pPr>
        <w:spacing w:line="252" w:lineRule="auto"/>
        <w:contextualSpacing/>
        <w:jc w:val="both"/>
        <w:rPr>
          <w:rFonts w:cstheme="minorHAnsi"/>
          <w:sz w:val="24"/>
          <w:szCs w:val="24"/>
        </w:rPr>
      </w:pPr>
    </w:p>
    <w:p w14:paraId="0FF6A559" w14:textId="600B63E3" w:rsidR="007F0F97" w:rsidRPr="00825D72" w:rsidRDefault="00825D72" w:rsidP="00825D72">
      <w:pPr>
        <w:spacing w:line="252" w:lineRule="auto"/>
        <w:contextualSpacing/>
        <w:jc w:val="both"/>
        <w:rPr>
          <w:rFonts w:eastAsia="Calibri" w:cstheme="minorHAnsi"/>
          <w:sz w:val="24"/>
          <w:szCs w:val="24"/>
        </w:rPr>
      </w:pPr>
      <w:r>
        <w:rPr>
          <w:rFonts w:cstheme="minorHAnsi"/>
          <w:sz w:val="24"/>
          <w:szCs w:val="24"/>
        </w:rPr>
        <w:t>4.</w:t>
      </w:r>
      <w:r w:rsidR="00CE41BF">
        <w:rPr>
          <w:rFonts w:cstheme="minorHAnsi"/>
          <w:sz w:val="24"/>
          <w:szCs w:val="24"/>
        </w:rPr>
        <w:t xml:space="preserve">57 </w:t>
      </w:r>
      <w:r w:rsidRPr="00365FEB">
        <w:rPr>
          <w:rFonts w:cstheme="minorHAnsi"/>
          <w:sz w:val="24"/>
          <w:szCs w:val="24"/>
        </w:rPr>
        <w:t>NKÚ</w:t>
      </w:r>
      <w:r>
        <w:rPr>
          <w:rFonts w:cstheme="minorHAnsi"/>
          <w:sz w:val="24"/>
          <w:szCs w:val="24"/>
        </w:rPr>
        <w:t xml:space="preserve"> také</w:t>
      </w:r>
      <w:r w:rsidRPr="00365FEB">
        <w:rPr>
          <w:rFonts w:cstheme="minorHAnsi"/>
          <w:sz w:val="24"/>
          <w:szCs w:val="24"/>
        </w:rPr>
        <w:t xml:space="preserve"> prově</w:t>
      </w:r>
      <w:r>
        <w:rPr>
          <w:rFonts w:cstheme="minorHAnsi"/>
          <w:sz w:val="24"/>
          <w:szCs w:val="24"/>
        </w:rPr>
        <w:t>řova</w:t>
      </w:r>
      <w:r w:rsidRPr="00365FEB">
        <w:rPr>
          <w:rFonts w:cstheme="minorHAnsi"/>
          <w:sz w:val="24"/>
          <w:szCs w:val="24"/>
        </w:rPr>
        <w:t xml:space="preserve">l, zda </w:t>
      </w:r>
      <w:r w:rsidRPr="00365FEB">
        <w:rPr>
          <w:rFonts w:cstheme="minorHAnsi"/>
          <w:color w:val="000000"/>
          <w:sz w:val="24"/>
          <w:szCs w:val="24"/>
        </w:rPr>
        <w:t>MD přijalo účinná opatření k nápravě nedostatků</w:t>
      </w:r>
      <w:r w:rsidR="00CE78E3">
        <w:rPr>
          <w:rFonts w:cstheme="minorHAnsi"/>
          <w:color w:val="000000"/>
          <w:sz w:val="24"/>
          <w:szCs w:val="24"/>
        </w:rPr>
        <w:t>, jež NKÚ zjistil</w:t>
      </w:r>
      <w:r w:rsidRPr="00365FEB">
        <w:rPr>
          <w:rFonts w:cstheme="minorHAnsi"/>
          <w:color w:val="000000"/>
          <w:sz w:val="24"/>
          <w:szCs w:val="24"/>
        </w:rPr>
        <w:t xml:space="preserve"> </w:t>
      </w:r>
      <w:r w:rsidR="002C18EE">
        <w:rPr>
          <w:rFonts w:cstheme="minorHAnsi"/>
          <w:color w:val="000000"/>
          <w:sz w:val="24"/>
          <w:szCs w:val="24"/>
        </w:rPr>
        <w:br/>
      </w:r>
      <w:r w:rsidRPr="00365FEB">
        <w:rPr>
          <w:rFonts w:cstheme="minorHAnsi"/>
          <w:color w:val="000000"/>
          <w:sz w:val="24"/>
          <w:szCs w:val="24"/>
        </w:rPr>
        <w:t>v</w:t>
      </w:r>
      <w:r w:rsidR="002C18EE">
        <w:rPr>
          <w:rFonts w:cstheme="minorHAnsi"/>
          <w:color w:val="000000"/>
          <w:sz w:val="24"/>
          <w:szCs w:val="24"/>
        </w:rPr>
        <w:t xml:space="preserve"> </w:t>
      </w:r>
      <w:r w:rsidRPr="00365FEB">
        <w:rPr>
          <w:rFonts w:cstheme="minorHAnsi"/>
          <w:color w:val="000000"/>
          <w:sz w:val="24"/>
          <w:szCs w:val="24"/>
        </w:rPr>
        <w:t>oblasti kontrolního vážení</w:t>
      </w:r>
      <w:r w:rsidR="00B86F54" w:rsidRPr="00365FEB">
        <w:rPr>
          <w:rFonts w:cstheme="minorHAnsi"/>
          <w:color w:val="000000"/>
          <w:sz w:val="24"/>
          <w:szCs w:val="24"/>
        </w:rPr>
        <w:t xml:space="preserve"> </w:t>
      </w:r>
      <w:r w:rsidR="00C21562">
        <w:rPr>
          <w:rFonts w:cstheme="minorHAnsi"/>
          <w:color w:val="000000"/>
          <w:sz w:val="24"/>
          <w:szCs w:val="24"/>
        </w:rPr>
        <w:t xml:space="preserve">již </w:t>
      </w:r>
      <w:r w:rsidR="00B86F54" w:rsidRPr="00365FEB">
        <w:rPr>
          <w:rFonts w:cstheme="minorHAnsi"/>
          <w:color w:val="000000"/>
          <w:sz w:val="24"/>
          <w:szCs w:val="24"/>
        </w:rPr>
        <w:t>při svých předchozích kontrolách</w:t>
      </w:r>
      <w:r w:rsidR="00B86F54" w:rsidRPr="000E7E3E">
        <w:rPr>
          <w:rFonts w:cstheme="minorHAnsi"/>
          <w:sz w:val="24"/>
          <w:szCs w:val="24"/>
        </w:rPr>
        <w:t xml:space="preserve"> </w:t>
      </w:r>
      <w:r w:rsidR="00C21562" w:rsidRPr="00B86F54">
        <w:rPr>
          <w:rFonts w:cstheme="minorHAnsi"/>
          <w:sz w:val="24"/>
          <w:szCs w:val="24"/>
        </w:rPr>
        <w:t>v</w:t>
      </w:r>
      <w:r w:rsidR="00CE78E3">
        <w:rPr>
          <w:rFonts w:cstheme="minorHAnsi"/>
          <w:sz w:val="24"/>
          <w:szCs w:val="24"/>
        </w:rPr>
        <w:t xml:space="preserve"> </w:t>
      </w:r>
      <w:r w:rsidR="00C21562" w:rsidRPr="00B86F54">
        <w:rPr>
          <w:rFonts w:cstheme="minorHAnsi"/>
          <w:sz w:val="24"/>
          <w:szCs w:val="24"/>
        </w:rPr>
        <w:t>letech 2018 a 2021</w:t>
      </w:r>
      <w:r w:rsidR="00C21562" w:rsidRPr="00B86F54">
        <w:rPr>
          <w:rFonts w:cstheme="minorHAnsi"/>
          <w:color w:val="000000"/>
          <w:sz w:val="24"/>
          <w:szCs w:val="24"/>
        </w:rPr>
        <w:t>, a</w:t>
      </w:r>
      <w:r w:rsidR="00CE78E3">
        <w:rPr>
          <w:rFonts w:cstheme="minorHAnsi"/>
          <w:color w:val="000000"/>
          <w:sz w:val="24"/>
          <w:szCs w:val="24"/>
        </w:rPr>
        <w:t> </w:t>
      </w:r>
      <w:r w:rsidR="00C21562" w:rsidRPr="00B86F54">
        <w:rPr>
          <w:rFonts w:cstheme="minorHAnsi"/>
          <w:color w:val="000000"/>
          <w:sz w:val="24"/>
          <w:szCs w:val="24"/>
        </w:rPr>
        <w:t xml:space="preserve">konstatuje, že MD tyto </w:t>
      </w:r>
      <w:r w:rsidR="00C21562" w:rsidRPr="00B86F54">
        <w:rPr>
          <w:rFonts w:cstheme="minorHAnsi"/>
          <w:sz w:val="24"/>
          <w:szCs w:val="24"/>
        </w:rPr>
        <w:t xml:space="preserve">nedostatky neodstranilo. </w:t>
      </w:r>
      <w:r w:rsidR="007F0F97" w:rsidRPr="00B86F54">
        <w:rPr>
          <w:rFonts w:cstheme="minorHAnsi"/>
          <w:sz w:val="24"/>
          <w:szCs w:val="24"/>
        </w:rPr>
        <w:t>Úpravy podmínek VKV, k</w:t>
      </w:r>
      <w:r w:rsidR="007F0F97" w:rsidRPr="007F0F97">
        <w:rPr>
          <w:rFonts w:cstheme="minorHAnsi"/>
          <w:sz w:val="24"/>
          <w:szCs w:val="24"/>
        </w:rPr>
        <w:t>teré provedlo MD v letech 2022 a 2024</w:t>
      </w:r>
      <w:r w:rsidR="00CE78E3">
        <w:rPr>
          <w:rFonts w:cstheme="minorHAnsi"/>
          <w:sz w:val="24"/>
          <w:szCs w:val="24"/>
        </w:rPr>
        <w:t>,</w:t>
      </w:r>
      <w:r w:rsidR="007F0F97" w:rsidRPr="007F0F97">
        <w:rPr>
          <w:rFonts w:cstheme="minorHAnsi"/>
          <w:sz w:val="24"/>
          <w:szCs w:val="24"/>
        </w:rPr>
        <w:t xml:space="preserve"> nezajistily omezení jízd přetížených vozidel, ale spíše jen omezily jejich postih a ve svých důsledcích snížily ochranu dopravní infrastruktury.</w:t>
      </w:r>
    </w:p>
    <w:p w14:paraId="043206BA" w14:textId="0DB29E28" w:rsidR="008F0628" w:rsidRDefault="008F0628" w:rsidP="002C4E3B">
      <w:pPr>
        <w:spacing w:after="0" w:line="252" w:lineRule="auto"/>
        <w:contextualSpacing/>
        <w:jc w:val="both"/>
        <w:rPr>
          <w:rFonts w:cstheme="minorHAnsi"/>
          <w:sz w:val="24"/>
          <w:szCs w:val="24"/>
          <w:highlight w:val="yellow"/>
        </w:rPr>
      </w:pPr>
    </w:p>
    <w:p w14:paraId="0E38B450" w14:textId="43054B83" w:rsidR="00DD5709" w:rsidRPr="00DD5709" w:rsidRDefault="00FF1C2D" w:rsidP="00DD5709">
      <w:pPr>
        <w:spacing w:after="0"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58 </w:t>
      </w:r>
      <w:r w:rsidR="00BD4B5B">
        <w:rPr>
          <w:rFonts w:cstheme="minorHAnsi"/>
          <w:sz w:val="24"/>
          <w:szCs w:val="24"/>
        </w:rPr>
        <w:t>M</w:t>
      </w:r>
      <w:r w:rsidR="007A43CE" w:rsidRPr="007A43CE">
        <w:rPr>
          <w:rFonts w:cstheme="minorHAnsi"/>
          <w:sz w:val="24"/>
          <w:szCs w:val="24"/>
        </w:rPr>
        <w:t xml:space="preserve">D </w:t>
      </w:r>
      <w:r w:rsidR="007954A4">
        <w:rPr>
          <w:rFonts w:cstheme="minorHAnsi"/>
          <w:sz w:val="24"/>
          <w:szCs w:val="24"/>
        </w:rPr>
        <w:t>výsledk</w:t>
      </w:r>
      <w:r w:rsidR="00DA3D02">
        <w:rPr>
          <w:rFonts w:cstheme="minorHAnsi"/>
          <w:sz w:val="24"/>
          <w:szCs w:val="24"/>
        </w:rPr>
        <w:t>y</w:t>
      </w:r>
      <w:r w:rsidR="007954A4">
        <w:rPr>
          <w:rFonts w:cstheme="minorHAnsi"/>
          <w:sz w:val="24"/>
          <w:szCs w:val="24"/>
        </w:rPr>
        <w:t xml:space="preserve"> </w:t>
      </w:r>
      <w:r w:rsidR="007A43CE" w:rsidRPr="007A43CE">
        <w:rPr>
          <w:rFonts w:cstheme="minorHAnsi"/>
          <w:sz w:val="24"/>
          <w:szCs w:val="24"/>
        </w:rPr>
        <w:t xml:space="preserve">kontrolního vážení </w:t>
      </w:r>
      <w:r w:rsidR="00DA3D02">
        <w:rPr>
          <w:rFonts w:cstheme="minorHAnsi"/>
          <w:sz w:val="24"/>
          <w:szCs w:val="24"/>
        </w:rPr>
        <w:t>nevyhodno</w:t>
      </w:r>
      <w:r w:rsidR="00BD4B5B">
        <w:rPr>
          <w:rFonts w:cstheme="minorHAnsi"/>
          <w:sz w:val="24"/>
          <w:szCs w:val="24"/>
        </w:rPr>
        <w:t>cova</w:t>
      </w:r>
      <w:r w:rsidR="00DA3D02">
        <w:rPr>
          <w:rFonts w:cstheme="minorHAnsi"/>
          <w:sz w:val="24"/>
          <w:szCs w:val="24"/>
        </w:rPr>
        <w:t>lo</w:t>
      </w:r>
      <w:r w:rsidR="00DA3D02" w:rsidRPr="007A43CE">
        <w:rPr>
          <w:rFonts w:cstheme="minorHAnsi"/>
          <w:sz w:val="24"/>
          <w:szCs w:val="24"/>
        </w:rPr>
        <w:t>.</w:t>
      </w:r>
      <w:r w:rsidR="00DA3D02">
        <w:rPr>
          <w:rFonts w:cstheme="minorHAnsi"/>
          <w:sz w:val="24"/>
          <w:szCs w:val="24"/>
        </w:rPr>
        <w:t xml:space="preserve"> </w:t>
      </w:r>
      <w:r w:rsidR="00DA3D02" w:rsidRPr="00DA3D02">
        <w:rPr>
          <w:rFonts w:cstheme="minorHAnsi"/>
          <w:sz w:val="24"/>
          <w:szCs w:val="24"/>
        </w:rPr>
        <w:t xml:space="preserve">Nedisponuje analýzami nebo studiemi zaměřenými na vyhodnocení počtů a podílů jízd přetížených vozidel </w:t>
      </w:r>
      <w:r w:rsidR="00CE78E3">
        <w:rPr>
          <w:rFonts w:cstheme="minorHAnsi"/>
          <w:sz w:val="24"/>
          <w:szCs w:val="24"/>
        </w:rPr>
        <w:t xml:space="preserve">či </w:t>
      </w:r>
      <w:r w:rsidR="00DA3D02" w:rsidRPr="00DA3D02">
        <w:rPr>
          <w:rFonts w:cstheme="minorHAnsi"/>
          <w:sz w:val="24"/>
          <w:szCs w:val="24"/>
        </w:rPr>
        <w:t>jejich vlivu na dopravní infrastrukturu</w:t>
      </w:r>
      <w:r w:rsidR="00CE104C">
        <w:rPr>
          <w:rFonts w:cstheme="minorHAnsi"/>
          <w:sz w:val="24"/>
          <w:szCs w:val="24"/>
        </w:rPr>
        <w:t>,</w:t>
      </w:r>
      <w:r w:rsidR="00DA3D02" w:rsidRPr="00DA3D02">
        <w:rPr>
          <w:rFonts w:cstheme="minorHAnsi"/>
          <w:sz w:val="24"/>
          <w:szCs w:val="24"/>
        </w:rPr>
        <w:t xml:space="preserve"> životní</w:t>
      </w:r>
      <w:r w:rsidR="00DA3D02">
        <w:rPr>
          <w:rFonts w:cstheme="minorHAnsi"/>
          <w:sz w:val="24"/>
          <w:szCs w:val="24"/>
        </w:rPr>
        <w:t xml:space="preserve"> </w:t>
      </w:r>
      <w:r w:rsidR="00DA3D02" w:rsidRPr="00DA3D02">
        <w:rPr>
          <w:rFonts w:cstheme="minorHAnsi"/>
          <w:sz w:val="24"/>
          <w:szCs w:val="24"/>
        </w:rPr>
        <w:t>prostředí nebo na poč</w:t>
      </w:r>
      <w:r w:rsidR="00CE78E3">
        <w:rPr>
          <w:rFonts w:cstheme="minorHAnsi"/>
          <w:sz w:val="24"/>
          <w:szCs w:val="24"/>
        </w:rPr>
        <w:t>ty</w:t>
      </w:r>
      <w:r w:rsidR="00DA3D02" w:rsidRPr="00DA3D02">
        <w:rPr>
          <w:rFonts w:cstheme="minorHAnsi"/>
          <w:sz w:val="24"/>
          <w:szCs w:val="24"/>
        </w:rPr>
        <w:t xml:space="preserve"> nehod. V období let 2019</w:t>
      </w:r>
      <w:r w:rsidR="00FA3F22">
        <w:rPr>
          <w:rFonts w:cstheme="minorHAnsi"/>
          <w:sz w:val="24"/>
          <w:szCs w:val="24"/>
        </w:rPr>
        <w:t>–</w:t>
      </w:r>
      <w:r w:rsidR="00DA3D02" w:rsidRPr="00DA3D02">
        <w:rPr>
          <w:rFonts w:cstheme="minorHAnsi"/>
          <w:sz w:val="24"/>
          <w:szCs w:val="24"/>
        </w:rPr>
        <w:t>2024 MD neprovedlo žádný audit nebo kontrolu týkající se oblasti kontrolního vážení.</w:t>
      </w:r>
      <w:r w:rsidR="00DD5709">
        <w:rPr>
          <w:rFonts w:cstheme="minorHAnsi"/>
          <w:sz w:val="24"/>
          <w:szCs w:val="24"/>
        </w:rPr>
        <w:t xml:space="preserve"> </w:t>
      </w:r>
      <w:r w:rsidR="00DD5709" w:rsidRPr="00DD5709">
        <w:rPr>
          <w:rFonts w:cstheme="minorHAnsi"/>
          <w:sz w:val="24"/>
          <w:szCs w:val="24"/>
        </w:rPr>
        <w:t xml:space="preserve">MD ani ŘSD nevyužívaly </w:t>
      </w:r>
      <w:r w:rsidR="00CE78E3">
        <w:rPr>
          <w:rFonts w:cstheme="minorHAnsi"/>
          <w:sz w:val="24"/>
          <w:szCs w:val="24"/>
        </w:rPr>
        <w:t>d</w:t>
      </w:r>
      <w:r w:rsidR="00CE78E3" w:rsidRPr="00DD5709">
        <w:rPr>
          <w:rFonts w:cstheme="minorHAnsi"/>
          <w:sz w:val="24"/>
          <w:szCs w:val="24"/>
        </w:rPr>
        <w:t>ata z</w:t>
      </w:r>
      <w:r w:rsidR="002141B0">
        <w:rPr>
          <w:rFonts w:cstheme="minorHAnsi"/>
          <w:sz w:val="24"/>
          <w:szCs w:val="24"/>
        </w:rPr>
        <w:t xml:space="preserve"> </w:t>
      </w:r>
      <w:r w:rsidR="00CE78E3" w:rsidRPr="00DD5709">
        <w:rPr>
          <w:rFonts w:cstheme="minorHAnsi"/>
          <w:sz w:val="24"/>
          <w:szCs w:val="24"/>
        </w:rPr>
        <w:t xml:space="preserve">kontrolního vážení </w:t>
      </w:r>
      <w:r w:rsidR="00DD5709" w:rsidRPr="00DD5709">
        <w:rPr>
          <w:rFonts w:cstheme="minorHAnsi"/>
          <w:sz w:val="24"/>
          <w:szCs w:val="24"/>
        </w:rPr>
        <w:t xml:space="preserve">ani při optimalizaci plánování oprav a rekonstrukcí silniční infrastruktury. </w:t>
      </w:r>
    </w:p>
    <w:p w14:paraId="65B4152E" w14:textId="77777777" w:rsidR="000E7E3E" w:rsidRDefault="000E7E3E" w:rsidP="002C4E3B">
      <w:pPr>
        <w:spacing w:after="0" w:line="252" w:lineRule="auto"/>
        <w:contextualSpacing/>
        <w:jc w:val="both"/>
        <w:rPr>
          <w:rFonts w:cstheme="minorHAnsi"/>
          <w:sz w:val="24"/>
          <w:szCs w:val="24"/>
        </w:rPr>
      </w:pPr>
    </w:p>
    <w:p w14:paraId="701BA9E1" w14:textId="31582225" w:rsidR="00A96556" w:rsidRDefault="00FF1C2D" w:rsidP="00A96556">
      <w:pPr>
        <w:spacing w:line="252" w:lineRule="auto"/>
        <w:contextualSpacing/>
        <w:jc w:val="both"/>
        <w:rPr>
          <w:rFonts w:cstheme="minorHAnsi"/>
          <w:sz w:val="24"/>
          <w:szCs w:val="24"/>
        </w:rPr>
      </w:pPr>
      <w:r>
        <w:rPr>
          <w:rFonts w:cstheme="minorHAnsi"/>
          <w:sz w:val="24"/>
          <w:szCs w:val="24"/>
        </w:rPr>
        <w:t>4.</w:t>
      </w:r>
      <w:r w:rsidR="00CE41BF">
        <w:rPr>
          <w:rFonts w:cstheme="minorHAnsi"/>
          <w:sz w:val="24"/>
          <w:szCs w:val="24"/>
        </w:rPr>
        <w:t xml:space="preserve">59 </w:t>
      </w:r>
      <w:r w:rsidR="00A96556" w:rsidRPr="00A96556">
        <w:rPr>
          <w:rFonts w:cstheme="minorHAnsi"/>
          <w:sz w:val="24"/>
          <w:szCs w:val="24"/>
        </w:rPr>
        <w:t xml:space="preserve">Doklady, které MD předložilo ke kontrole, ani údaje a informace z veřejně dostupných zdrojů neumožňují zjistit </w:t>
      </w:r>
      <w:r w:rsidR="00C456B8">
        <w:rPr>
          <w:rFonts w:cstheme="minorHAnsi"/>
          <w:sz w:val="24"/>
          <w:szCs w:val="24"/>
        </w:rPr>
        <w:t xml:space="preserve">přesný </w:t>
      </w:r>
      <w:r w:rsidR="00A96556" w:rsidRPr="00A96556">
        <w:rPr>
          <w:rFonts w:cstheme="minorHAnsi"/>
          <w:sz w:val="24"/>
          <w:szCs w:val="24"/>
        </w:rPr>
        <w:t>poč</w:t>
      </w:r>
      <w:r w:rsidR="00C456B8">
        <w:rPr>
          <w:rFonts w:cstheme="minorHAnsi"/>
          <w:sz w:val="24"/>
          <w:szCs w:val="24"/>
        </w:rPr>
        <w:t>et</w:t>
      </w:r>
      <w:r w:rsidR="00A96556" w:rsidRPr="00A96556">
        <w:rPr>
          <w:rFonts w:cstheme="minorHAnsi"/>
          <w:sz w:val="24"/>
          <w:szCs w:val="24"/>
        </w:rPr>
        <w:t xml:space="preserve"> jízd přetížených vozidel na dálnicích a silnicích I. třídy. Tomu, že by v kontrolovaném období let 2019</w:t>
      </w:r>
      <w:r w:rsidR="00FA3F22">
        <w:rPr>
          <w:rFonts w:cstheme="minorHAnsi"/>
          <w:sz w:val="24"/>
          <w:szCs w:val="24"/>
        </w:rPr>
        <w:t>–</w:t>
      </w:r>
      <w:r w:rsidR="00A96556" w:rsidRPr="00A96556">
        <w:rPr>
          <w:rFonts w:cstheme="minorHAnsi"/>
          <w:sz w:val="24"/>
          <w:szCs w:val="24"/>
        </w:rPr>
        <w:t>2024 došlo</w:t>
      </w:r>
      <w:r w:rsidR="00DD5709">
        <w:rPr>
          <w:rFonts w:cstheme="minorHAnsi"/>
          <w:sz w:val="24"/>
          <w:szCs w:val="24"/>
        </w:rPr>
        <w:t xml:space="preserve"> </w:t>
      </w:r>
      <w:r w:rsidR="00A96556" w:rsidRPr="00A96556">
        <w:rPr>
          <w:rFonts w:cstheme="minorHAnsi"/>
          <w:sz w:val="24"/>
          <w:szCs w:val="24"/>
        </w:rPr>
        <w:t xml:space="preserve">k poklesu jízd </w:t>
      </w:r>
      <w:r w:rsidR="00DD5709">
        <w:rPr>
          <w:rFonts w:cstheme="minorHAnsi"/>
          <w:sz w:val="24"/>
          <w:szCs w:val="24"/>
        </w:rPr>
        <w:t>těchto</w:t>
      </w:r>
      <w:r w:rsidR="00A96556" w:rsidRPr="00A96556">
        <w:rPr>
          <w:rFonts w:cstheme="minorHAnsi"/>
          <w:sz w:val="24"/>
          <w:szCs w:val="24"/>
        </w:rPr>
        <w:t xml:space="preserve"> vozidel nebo </w:t>
      </w:r>
      <w:r w:rsidR="00CE78E3">
        <w:rPr>
          <w:rFonts w:cstheme="minorHAnsi"/>
          <w:sz w:val="24"/>
          <w:szCs w:val="24"/>
        </w:rPr>
        <w:t xml:space="preserve">ke </w:t>
      </w:r>
      <w:r w:rsidR="00A96556" w:rsidRPr="00A96556">
        <w:rPr>
          <w:rFonts w:cstheme="minorHAnsi"/>
          <w:sz w:val="24"/>
          <w:szCs w:val="24"/>
        </w:rPr>
        <w:t>snížení jejich negativních účinků na dopravní infrastrukturu, bezpečnost a plynulost silničního provozu a životní prostředí, ale nic nenasvědčuje.</w:t>
      </w:r>
    </w:p>
    <w:p w14:paraId="24EE1C2C" w14:textId="77777777" w:rsidR="003905AF" w:rsidRPr="00A96556" w:rsidRDefault="003905AF" w:rsidP="00A96556">
      <w:pPr>
        <w:spacing w:line="252" w:lineRule="auto"/>
        <w:contextualSpacing/>
        <w:jc w:val="both"/>
        <w:rPr>
          <w:rFonts w:cstheme="minorHAnsi"/>
          <w:sz w:val="24"/>
          <w:szCs w:val="24"/>
        </w:rPr>
      </w:pPr>
    </w:p>
    <w:bookmarkEnd w:id="18"/>
    <w:p w14:paraId="3B8457E1" w14:textId="77777777" w:rsidR="00CE78E3" w:rsidRDefault="00CE78E3">
      <w:pPr>
        <w:rPr>
          <w:rFonts w:cstheme="minorHAnsi"/>
          <w:b/>
          <w:sz w:val="24"/>
          <w:szCs w:val="24"/>
        </w:rPr>
      </w:pPr>
      <w:r>
        <w:rPr>
          <w:rFonts w:cstheme="minorHAnsi"/>
          <w:b/>
          <w:sz w:val="24"/>
          <w:szCs w:val="24"/>
        </w:rPr>
        <w:br w:type="page"/>
      </w:r>
    </w:p>
    <w:p w14:paraId="5DBB9C19" w14:textId="39598D09" w:rsidR="009962CB" w:rsidRPr="002C4E3B" w:rsidRDefault="009962CB" w:rsidP="004459F3">
      <w:pPr>
        <w:keepNext/>
        <w:spacing w:line="252" w:lineRule="auto"/>
        <w:rPr>
          <w:rFonts w:cstheme="minorHAnsi"/>
          <w:b/>
          <w:sz w:val="24"/>
          <w:szCs w:val="24"/>
        </w:rPr>
      </w:pPr>
      <w:r w:rsidRPr="002C4E3B">
        <w:rPr>
          <w:rFonts w:cstheme="minorHAnsi"/>
          <w:b/>
          <w:sz w:val="24"/>
          <w:szCs w:val="24"/>
        </w:rPr>
        <w:lastRenderedPageBreak/>
        <w:t>Seznam zkratek</w:t>
      </w:r>
    </w:p>
    <w:p w14:paraId="1B2C4981" w14:textId="505F60E3" w:rsidR="005E082B" w:rsidRDefault="005E082B"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C-ITS</w:t>
      </w:r>
      <w:r>
        <w:rPr>
          <w:rFonts w:cstheme="minorHAnsi"/>
          <w:sz w:val="24"/>
          <w:szCs w:val="24"/>
        </w:rPr>
        <w:tab/>
        <w:t>kooperativní inteligentní dopravní systémy</w:t>
      </w:r>
    </w:p>
    <w:p w14:paraId="01605C4E" w14:textId="5F780A34" w:rsidR="009962CB" w:rsidRPr="002C4E3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C</w:t>
      </w:r>
      <w:r w:rsidR="00D5442E">
        <w:rPr>
          <w:rFonts w:cstheme="minorHAnsi"/>
          <w:sz w:val="24"/>
          <w:szCs w:val="24"/>
        </w:rPr>
        <w:t>S</w:t>
      </w:r>
      <w:r w:rsidR="008B7628" w:rsidRPr="002C4E3B">
        <w:rPr>
          <w:rFonts w:cstheme="minorHAnsi"/>
          <w:sz w:val="24"/>
          <w:szCs w:val="24"/>
        </w:rPr>
        <w:t>PSD</w:t>
      </w:r>
      <w:r w:rsidRPr="002C4E3B">
        <w:rPr>
          <w:rFonts w:cstheme="minorHAnsi"/>
          <w:sz w:val="24"/>
          <w:szCs w:val="24"/>
        </w:rPr>
        <w:tab/>
        <w:t xml:space="preserve">Centrum </w:t>
      </w:r>
      <w:r w:rsidR="008B7628" w:rsidRPr="002C4E3B">
        <w:rPr>
          <w:rFonts w:cstheme="minorHAnsi"/>
          <w:sz w:val="24"/>
          <w:szCs w:val="24"/>
        </w:rPr>
        <w:t>služeb pro silniční dopravu</w:t>
      </w:r>
    </w:p>
    <w:p w14:paraId="68C1BB0E" w14:textId="77777777" w:rsidR="009962C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ČR</w:t>
      </w:r>
      <w:r w:rsidRPr="002C4E3B">
        <w:rPr>
          <w:rFonts w:cstheme="minorHAnsi"/>
          <w:sz w:val="24"/>
          <w:szCs w:val="24"/>
        </w:rPr>
        <w:tab/>
        <w:t>Česká republika</w:t>
      </w:r>
    </w:p>
    <w:p w14:paraId="62517492" w14:textId="4403F61E" w:rsidR="005E082B" w:rsidRPr="002C4E3B" w:rsidRDefault="005E082B"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DPH</w:t>
      </w:r>
      <w:r>
        <w:rPr>
          <w:rFonts w:cstheme="minorHAnsi"/>
          <w:sz w:val="24"/>
          <w:szCs w:val="24"/>
        </w:rPr>
        <w:tab/>
        <w:t>daň z přidané hodnoty</w:t>
      </w:r>
    </w:p>
    <w:p w14:paraId="6B31F40E" w14:textId="4259C9F1" w:rsidR="009962C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EU</w:t>
      </w:r>
      <w:r w:rsidRPr="002C4E3B">
        <w:rPr>
          <w:rFonts w:cstheme="minorHAnsi"/>
          <w:sz w:val="24"/>
          <w:szCs w:val="24"/>
        </w:rPr>
        <w:tab/>
        <w:t xml:space="preserve">Evropská </w:t>
      </w:r>
      <w:r w:rsidR="005E082B">
        <w:rPr>
          <w:rFonts w:cstheme="minorHAnsi"/>
          <w:sz w:val="24"/>
          <w:szCs w:val="24"/>
        </w:rPr>
        <w:t>u</w:t>
      </w:r>
      <w:r w:rsidRPr="002C4E3B">
        <w:rPr>
          <w:rFonts w:cstheme="minorHAnsi"/>
          <w:sz w:val="24"/>
          <w:szCs w:val="24"/>
        </w:rPr>
        <w:t>nie</w:t>
      </w:r>
    </w:p>
    <w:p w14:paraId="1C578CA2" w14:textId="2C9C7498" w:rsidR="005E082B" w:rsidRPr="002C4E3B" w:rsidRDefault="005E082B"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ITS</w:t>
      </w:r>
      <w:r>
        <w:rPr>
          <w:rFonts w:cstheme="minorHAnsi"/>
          <w:sz w:val="24"/>
          <w:szCs w:val="24"/>
        </w:rPr>
        <w:tab/>
        <w:t>inteligentní dopravní systémy</w:t>
      </w:r>
    </w:p>
    <w:p w14:paraId="766CBEEF" w14:textId="2AE3430B" w:rsidR="008B7628" w:rsidRPr="002C4E3B" w:rsidRDefault="003B312F"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k</w:t>
      </w:r>
      <w:r w:rsidR="008B7628" w:rsidRPr="002C4E3B">
        <w:rPr>
          <w:rFonts w:cstheme="minorHAnsi"/>
          <w:sz w:val="24"/>
          <w:szCs w:val="24"/>
        </w:rPr>
        <w:t>ontrolní vážení</w:t>
      </w:r>
      <w:r w:rsidR="008B7628" w:rsidRPr="002C4E3B">
        <w:rPr>
          <w:rFonts w:cstheme="minorHAnsi"/>
          <w:sz w:val="24"/>
          <w:szCs w:val="24"/>
        </w:rPr>
        <w:tab/>
      </w:r>
      <w:r w:rsidR="00B0134A">
        <w:rPr>
          <w:rFonts w:cstheme="minorHAnsi"/>
          <w:sz w:val="24"/>
          <w:szCs w:val="24"/>
        </w:rPr>
        <w:t>k</w:t>
      </w:r>
      <w:r w:rsidR="00B0134A" w:rsidRPr="002C4E3B">
        <w:rPr>
          <w:rFonts w:cstheme="minorHAnsi"/>
          <w:sz w:val="24"/>
          <w:szCs w:val="24"/>
        </w:rPr>
        <w:t xml:space="preserve">ontrolní </w:t>
      </w:r>
      <w:r w:rsidR="008B7628" w:rsidRPr="002C4E3B">
        <w:rPr>
          <w:rFonts w:cstheme="minorHAnsi"/>
          <w:sz w:val="24"/>
          <w:szCs w:val="24"/>
        </w:rPr>
        <w:t>vážení vozidel</w:t>
      </w:r>
    </w:p>
    <w:p w14:paraId="44E5CEC9" w14:textId="0FE9546A" w:rsidR="005262A2" w:rsidRPr="002C4E3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MD</w:t>
      </w:r>
      <w:r w:rsidR="008B7628" w:rsidRPr="002C4E3B">
        <w:rPr>
          <w:rFonts w:cstheme="minorHAnsi"/>
          <w:sz w:val="24"/>
          <w:szCs w:val="24"/>
        </w:rPr>
        <w:tab/>
      </w:r>
      <w:r w:rsidR="006B5EF6" w:rsidRPr="002C4E3B">
        <w:rPr>
          <w:rFonts w:cstheme="minorHAnsi"/>
          <w:sz w:val="24"/>
          <w:szCs w:val="24"/>
        </w:rPr>
        <w:t>M</w:t>
      </w:r>
      <w:r w:rsidR="005262A2" w:rsidRPr="002C4E3B">
        <w:rPr>
          <w:rFonts w:cstheme="minorHAnsi"/>
          <w:sz w:val="24"/>
          <w:szCs w:val="24"/>
        </w:rPr>
        <w:t xml:space="preserve">inisterstvo dopravy </w:t>
      </w:r>
    </w:p>
    <w:p w14:paraId="3F3AC784" w14:textId="77777777" w:rsidR="009962CB" w:rsidRPr="002C4E3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NKÚ</w:t>
      </w:r>
      <w:r w:rsidRPr="002C4E3B">
        <w:rPr>
          <w:rFonts w:cstheme="minorHAnsi"/>
          <w:sz w:val="24"/>
          <w:szCs w:val="24"/>
        </w:rPr>
        <w:tab/>
        <w:t>Nejvyšší kontrolní úřad</w:t>
      </w:r>
    </w:p>
    <w:p w14:paraId="4D04EC44" w14:textId="776C9E54" w:rsidR="008B7628" w:rsidRPr="002C4E3B" w:rsidRDefault="008B7628"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NKV</w:t>
      </w:r>
      <w:r w:rsidRPr="002C4E3B">
        <w:rPr>
          <w:rFonts w:cstheme="minorHAnsi"/>
          <w:sz w:val="24"/>
          <w:szCs w:val="24"/>
        </w:rPr>
        <w:tab/>
      </w:r>
      <w:proofErr w:type="spellStart"/>
      <w:r w:rsidR="00B0134A">
        <w:rPr>
          <w:rFonts w:cstheme="minorHAnsi"/>
          <w:sz w:val="24"/>
          <w:szCs w:val="24"/>
        </w:rPr>
        <w:t>n</w:t>
      </w:r>
      <w:r w:rsidR="00B0134A" w:rsidRPr="002C4E3B">
        <w:rPr>
          <w:rFonts w:cstheme="minorHAnsi"/>
          <w:sz w:val="24"/>
          <w:szCs w:val="24"/>
        </w:rPr>
        <w:t>ízkorychlostní</w:t>
      </w:r>
      <w:proofErr w:type="spellEnd"/>
      <w:r w:rsidR="00B0134A" w:rsidRPr="002C4E3B">
        <w:rPr>
          <w:rFonts w:cstheme="minorHAnsi"/>
          <w:sz w:val="24"/>
          <w:szCs w:val="24"/>
        </w:rPr>
        <w:t xml:space="preserve"> </w:t>
      </w:r>
      <w:r w:rsidRPr="002C4E3B">
        <w:rPr>
          <w:rFonts w:cstheme="minorHAnsi"/>
          <w:sz w:val="24"/>
          <w:szCs w:val="24"/>
        </w:rPr>
        <w:t>kontrolní vážení vozidel</w:t>
      </w:r>
    </w:p>
    <w:p w14:paraId="50E8DA53" w14:textId="16F0AD3B" w:rsidR="008B7628" w:rsidRDefault="008B7628"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ORP</w:t>
      </w:r>
      <w:r w:rsidRPr="002C4E3B">
        <w:rPr>
          <w:rFonts w:cstheme="minorHAnsi"/>
          <w:sz w:val="24"/>
          <w:szCs w:val="24"/>
        </w:rPr>
        <w:tab/>
      </w:r>
      <w:r w:rsidR="00B0134A">
        <w:rPr>
          <w:rFonts w:cstheme="minorHAnsi"/>
          <w:sz w:val="24"/>
          <w:szCs w:val="24"/>
        </w:rPr>
        <w:t>o</w:t>
      </w:r>
      <w:r w:rsidR="00B0134A" w:rsidRPr="002C4E3B">
        <w:rPr>
          <w:rFonts w:cstheme="minorHAnsi"/>
          <w:sz w:val="24"/>
          <w:szCs w:val="24"/>
        </w:rPr>
        <w:t xml:space="preserve">bec </w:t>
      </w:r>
      <w:r w:rsidRPr="002C4E3B">
        <w:rPr>
          <w:rFonts w:cstheme="minorHAnsi"/>
          <w:sz w:val="24"/>
          <w:szCs w:val="24"/>
        </w:rPr>
        <w:t>s rozšířenou působností</w:t>
      </w:r>
    </w:p>
    <w:p w14:paraId="100C7207" w14:textId="47A4E84D" w:rsidR="002D6A47" w:rsidRDefault="002D6A47"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PPP</w:t>
      </w:r>
      <w:r>
        <w:rPr>
          <w:rFonts w:cstheme="minorHAnsi"/>
          <w:sz w:val="24"/>
          <w:szCs w:val="24"/>
        </w:rPr>
        <w:tab/>
      </w:r>
      <w:r w:rsidR="002025E9">
        <w:rPr>
          <w:rFonts w:cstheme="minorHAnsi"/>
          <w:sz w:val="24"/>
          <w:szCs w:val="24"/>
        </w:rPr>
        <w:t>p</w:t>
      </w:r>
      <w:r w:rsidRPr="002D6A47">
        <w:rPr>
          <w:rFonts w:cstheme="minorHAnsi"/>
          <w:sz w:val="24"/>
          <w:szCs w:val="24"/>
        </w:rPr>
        <w:t>artnerství veřejného a soukromého sektoru </w:t>
      </w:r>
    </w:p>
    <w:p w14:paraId="487F4225" w14:textId="77777777" w:rsidR="002D6A47" w:rsidRPr="002C4E3B" w:rsidRDefault="002D6A47"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ab/>
      </w:r>
      <w:r w:rsidRPr="002D6A47">
        <w:rPr>
          <w:rFonts w:cstheme="minorHAnsi"/>
          <w:sz w:val="24"/>
          <w:szCs w:val="24"/>
        </w:rPr>
        <w:t>(</w:t>
      </w:r>
      <w:r w:rsidRPr="00CE08F5">
        <w:rPr>
          <w:rFonts w:cstheme="minorHAnsi"/>
          <w:sz w:val="24"/>
          <w:szCs w:val="24"/>
          <w:lang w:val="en-GB"/>
        </w:rPr>
        <w:t>Public Private Partnership</w:t>
      </w:r>
      <w:r w:rsidRPr="002D6A47">
        <w:rPr>
          <w:rFonts w:cstheme="minorHAnsi"/>
          <w:sz w:val="24"/>
          <w:szCs w:val="24"/>
        </w:rPr>
        <w:t>)</w:t>
      </w:r>
    </w:p>
    <w:p w14:paraId="551969D8" w14:textId="77777777" w:rsidR="008B7628" w:rsidRPr="002C4E3B" w:rsidRDefault="008B7628"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ŘSD</w:t>
      </w:r>
      <w:r w:rsidRPr="002C4E3B">
        <w:rPr>
          <w:rFonts w:cstheme="minorHAnsi"/>
          <w:sz w:val="24"/>
          <w:szCs w:val="24"/>
        </w:rPr>
        <w:tab/>
        <w:t>Ředitelství silnic a dálnic s. p.</w:t>
      </w:r>
    </w:p>
    <w:p w14:paraId="4AFE6C98" w14:textId="77777777" w:rsidR="00E83483" w:rsidRPr="002C4E3B" w:rsidRDefault="009962CB"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SFDI</w:t>
      </w:r>
      <w:r w:rsidRPr="002C4E3B">
        <w:rPr>
          <w:rFonts w:cstheme="minorHAnsi"/>
          <w:sz w:val="24"/>
          <w:szCs w:val="24"/>
        </w:rPr>
        <w:tab/>
        <w:t>Státní fond dopravní infrastruktury</w:t>
      </w:r>
    </w:p>
    <w:p w14:paraId="1D98D6FE" w14:textId="77777777" w:rsidR="003B312F" w:rsidRDefault="003B312F"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vážní delikty</w:t>
      </w:r>
      <w:r>
        <w:rPr>
          <w:rFonts w:cstheme="minorHAnsi"/>
          <w:sz w:val="24"/>
          <w:szCs w:val="24"/>
        </w:rPr>
        <w:tab/>
      </w:r>
      <w:r w:rsidRPr="00DE0CEE">
        <w:rPr>
          <w:rFonts w:cstheme="minorHAnsi"/>
          <w:sz w:val="24"/>
          <w:szCs w:val="24"/>
        </w:rPr>
        <w:t>překročení hmotnostních limitů</w:t>
      </w:r>
    </w:p>
    <w:p w14:paraId="0B7C849A" w14:textId="6C5A7A5B" w:rsidR="00175960" w:rsidRDefault="008B7628" w:rsidP="004459F3">
      <w:pPr>
        <w:tabs>
          <w:tab w:val="left" w:pos="3828"/>
        </w:tabs>
        <w:autoSpaceDE w:val="0"/>
        <w:autoSpaceDN w:val="0"/>
        <w:adjustRightInd w:val="0"/>
        <w:spacing w:after="80" w:line="252" w:lineRule="auto"/>
        <w:rPr>
          <w:rFonts w:cstheme="minorHAnsi"/>
          <w:sz w:val="24"/>
          <w:szCs w:val="24"/>
        </w:rPr>
      </w:pPr>
      <w:r w:rsidRPr="002C4E3B">
        <w:rPr>
          <w:rFonts w:cstheme="minorHAnsi"/>
          <w:sz w:val="24"/>
          <w:szCs w:val="24"/>
        </w:rPr>
        <w:t>VKV</w:t>
      </w:r>
      <w:r w:rsidRPr="002C4E3B">
        <w:rPr>
          <w:rFonts w:cstheme="minorHAnsi"/>
          <w:sz w:val="24"/>
          <w:szCs w:val="24"/>
        </w:rPr>
        <w:tab/>
      </w:r>
      <w:r w:rsidR="00B0134A">
        <w:rPr>
          <w:rFonts w:cstheme="minorHAnsi"/>
          <w:sz w:val="24"/>
          <w:szCs w:val="24"/>
        </w:rPr>
        <w:t>v</w:t>
      </w:r>
      <w:r w:rsidR="00B0134A" w:rsidRPr="002C4E3B">
        <w:rPr>
          <w:rFonts w:cstheme="minorHAnsi"/>
          <w:sz w:val="24"/>
          <w:szCs w:val="24"/>
        </w:rPr>
        <w:t xml:space="preserve">ysokorychlostní </w:t>
      </w:r>
      <w:r w:rsidRPr="002C4E3B">
        <w:rPr>
          <w:rFonts w:cstheme="minorHAnsi"/>
          <w:sz w:val="24"/>
          <w:szCs w:val="24"/>
        </w:rPr>
        <w:t>kontrolní vážení vozide</w:t>
      </w:r>
      <w:r w:rsidR="00A508F5">
        <w:rPr>
          <w:rFonts w:cstheme="minorHAnsi"/>
          <w:sz w:val="24"/>
          <w:szCs w:val="24"/>
        </w:rPr>
        <w:t>l</w:t>
      </w:r>
    </w:p>
    <w:p w14:paraId="53A1E5A1" w14:textId="6885D242" w:rsidR="005E082B" w:rsidRPr="002C4E3B" w:rsidRDefault="005E082B" w:rsidP="004459F3">
      <w:pPr>
        <w:tabs>
          <w:tab w:val="left" w:pos="3828"/>
        </w:tabs>
        <w:autoSpaceDE w:val="0"/>
        <w:autoSpaceDN w:val="0"/>
        <w:adjustRightInd w:val="0"/>
        <w:spacing w:after="80" w:line="252" w:lineRule="auto"/>
        <w:rPr>
          <w:rFonts w:cstheme="minorHAnsi"/>
          <w:sz w:val="24"/>
          <w:szCs w:val="24"/>
        </w:rPr>
      </w:pPr>
      <w:r>
        <w:rPr>
          <w:rFonts w:cstheme="minorHAnsi"/>
          <w:sz w:val="24"/>
          <w:szCs w:val="24"/>
        </w:rPr>
        <w:t>zákon o pozemních komunikacích</w:t>
      </w:r>
      <w:r>
        <w:rPr>
          <w:rFonts w:cstheme="minorHAnsi"/>
          <w:sz w:val="24"/>
          <w:szCs w:val="24"/>
        </w:rPr>
        <w:tab/>
        <w:t xml:space="preserve">zákon č. 13/1997 Sb., </w:t>
      </w:r>
      <w:r w:rsidRPr="005E082B">
        <w:rPr>
          <w:rFonts w:cstheme="minorHAnsi"/>
          <w:sz w:val="24"/>
          <w:szCs w:val="24"/>
        </w:rPr>
        <w:t xml:space="preserve">o pozemních komunikacích </w:t>
      </w:r>
    </w:p>
    <w:sectPr w:rsidR="005E082B" w:rsidRPr="002C4E3B" w:rsidSect="0072686A">
      <w:footerReference w:type="default" r:id="rId11"/>
      <w:type w:val="continuous"/>
      <w:pgSz w:w="11906" w:h="16838"/>
      <w:pgMar w:top="1417" w:right="1416"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04AB" w14:textId="77777777" w:rsidR="00EF65FF" w:rsidRDefault="00EF65FF" w:rsidP="00742A7E">
      <w:pPr>
        <w:spacing w:after="0" w:line="240" w:lineRule="auto"/>
      </w:pPr>
      <w:r>
        <w:separator/>
      </w:r>
    </w:p>
  </w:endnote>
  <w:endnote w:type="continuationSeparator" w:id="0">
    <w:p w14:paraId="41C70226" w14:textId="77777777" w:rsidR="00EF65FF" w:rsidRDefault="00EF65FF" w:rsidP="0074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26831"/>
      <w:docPartObj>
        <w:docPartGallery w:val="Page Numbers (Bottom of Page)"/>
        <w:docPartUnique/>
      </w:docPartObj>
    </w:sdtPr>
    <w:sdtEndPr/>
    <w:sdtContent>
      <w:p w14:paraId="3B97D391" w14:textId="77777777" w:rsidR="008B7569" w:rsidRDefault="008B7569" w:rsidP="003A306E">
        <w:pPr>
          <w:pStyle w:val="Zpat"/>
          <w:jc w:val="center"/>
        </w:pPr>
        <w:r w:rsidRPr="003A306E">
          <w:rPr>
            <w:sz w:val="24"/>
          </w:rPr>
          <w:fldChar w:fldCharType="begin"/>
        </w:r>
        <w:r w:rsidRPr="003A306E">
          <w:rPr>
            <w:sz w:val="24"/>
          </w:rPr>
          <w:instrText>PAGE   \* MERGEFORMAT</w:instrText>
        </w:r>
        <w:r w:rsidRPr="003A306E">
          <w:rPr>
            <w:sz w:val="24"/>
          </w:rPr>
          <w:fldChar w:fldCharType="separate"/>
        </w:r>
        <w:r w:rsidRPr="003A306E">
          <w:rPr>
            <w:sz w:val="24"/>
          </w:rPr>
          <w:t>2</w:t>
        </w:r>
        <w:r w:rsidRPr="003A306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B6EC" w14:textId="77777777" w:rsidR="00EF65FF" w:rsidRDefault="00EF65FF" w:rsidP="00742A7E">
      <w:pPr>
        <w:spacing w:after="0" w:line="240" w:lineRule="auto"/>
      </w:pPr>
      <w:r>
        <w:separator/>
      </w:r>
    </w:p>
  </w:footnote>
  <w:footnote w:type="continuationSeparator" w:id="0">
    <w:p w14:paraId="7BCA60ED" w14:textId="77777777" w:rsidR="00EF65FF" w:rsidRDefault="00EF65FF" w:rsidP="00742A7E">
      <w:pPr>
        <w:spacing w:after="0" w:line="240" w:lineRule="auto"/>
      </w:pPr>
      <w:r>
        <w:continuationSeparator/>
      </w:r>
    </w:p>
  </w:footnote>
  <w:footnote w:id="1">
    <w:p w14:paraId="0B354C1E" w14:textId="532CB31D" w:rsidR="00CE08F5" w:rsidRDefault="00CE08F5" w:rsidP="005E4AD6">
      <w:pPr>
        <w:pStyle w:val="Textpoznpodarou"/>
        <w:ind w:left="284" w:hanging="284"/>
        <w:jc w:val="both"/>
      </w:pPr>
      <w:r>
        <w:rPr>
          <w:rStyle w:val="Znakapoznpodarou"/>
        </w:rPr>
        <w:footnoteRef/>
      </w:r>
      <w:r>
        <w:t xml:space="preserve"> </w:t>
      </w:r>
      <w:r>
        <w:tab/>
        <w:t xml:space="preserve">Vážním deliktem je </w:t>
      </w:r>
      <w:r w:rsidRPr="007425D8">
        <w:t>zjištěné překročení hmotnostních limitů stanovených právním předpisem</w:t>
      </w:r>
      <w:r>
        <w:t>.</w:t>
      </w:r>
    </w:p>
  </w:footnote>
  <w:footnote w:id="2">
    <w:p w14:paraId="070729C8" w14:textId="758BA7E7" w:rsidR="008B7569" w:rsidRDefault="008B7569" w:rsidP="005E4AD6">
      <w:pPr>
        <w:pStyle w:val="Textpoznpodarou"/>
        <w:ind w:left="284" w:hanging="284"/>
        <w:jc w:val="both"/>
      </w:pPr>
      <w:r>
        <w:rPr>
          <w:rStyle w:val="Znakapoznpodarou"/>
        </w:rPr>
        <w:footnoteRef/>
      </w:r>
      <w:r>
        <w:t xml:space="preserve"> </w:t>
      </w:r>
      <w:r w:rsidR="000B6B07">
        <w:tab/>
      </w:r>
      <w:r>
        <w:t>Kontrolní vážení vozidel na dálnicích prováděná za účasti Centra služeb pro silniční dopravu.</w:t>
      </w:r>
    </w:p>
  </w:footnote>
  <w:footnote w:id="3">
    <w:p w14:paraId="18114DA6" w14:textId="18E68057" w:rsidR="00CE08F5" w:rsidRDefault="00CE08F5" w:rsidP="00CE08F5">
      <w:pPr>
        <w:pStyle w:val="Textpoznpodarou"/>
        <w:ind w:left="284" w:hanging="284"/>
        <w:jc w:val="both"/>
      </w:pPr>
      <w:r>
        <w:rPr>
          <w:rStyle w:val="Znakapoznpodarou"/>
        </w:rPr>
        <w:footnoteRef/>
      </w:r>
      <w:r>
        <w:t xml:space="preserve"> </w:t>
      </w:r>
      <w:r>
        <w:tab/>
      </w:r>
      <w:r w:rsidRPr="00263725">
        <w:rPr>
          <w:rFonts w:ascii="Calibri" w:eastAsia="Calibri" w:hAnsi="Calibri" w:cs="Calibri"/>
        </w:rPr>
        <w:t xml:space="preserve">Výši škod </w:t>
      </w:r>
      <w:r>
        <w:rPr>
          <w:rFonts w:ascii="Calibri" w:eastAsia="Calibri" w:hAnsi="Calibri" w:cs="Calibri"/>
        </w:rPr>
        <w:t xml:space="preserve">vzniklých v důsledku jízd přetížených vozidel </w:t>
      </w:r>
      <w:r w:rsidRPr="00263725">
        <w:rPr>
          <w:rFonts w:ascii="Calibri" w:eastAsia="Calibri" w:hAnsi="Calibri" w:cs="Calibri"/>
        </w:rPr>
        <w:t xml:space="preserve">nebylo možno přesně vyčíslit, neboť MD, ŘSD ani </w:t>
      </w:r>
      <w:r w:rsidR="005F2031">
        <w:rPr>
          <w:rFonts w:ascii="Calibri" w:eastAsia="Calibri" w:hAnsi="Calibri" w:cs="Calibri"/>
        </w:rPr>
        <w:br/>
      </w:r>
      <w:r w:rsidRPr="00263725">
        <w:rPr>
          <w:rFonts w:ascii="Calibri" w:eastAsia="Calibri" w:hAnsi="Calibri" w:cs="Calibri"/>
        </w:rPr>
        <w:t xml:space="preserve">SFDI nemají potřebné údaje k dispozici. </w:t>
      </w:r>
      <w:r w:rsidRPr="004524F6">
        <w:rPr>
          <w:rFonts w:ascii="Calibri" w:eastAsia="Calibri" w:hAnsi="Calibri" w:cs="Calibri"/>
        </w:rPr>
        <w:t>V letech 2019</w:t>
      </w:r>
      <w:r w:rsidR="00401392">
        <w:rPr>
          <w:rFonts w:ascii="Calibri" w:eastAsia="Calibri" w:hAnsi="Calibri" w:cs="Calibri"/>
        </w:rPr>
        <w:t>–</w:t>
      </w:r>
      <w:r w:rsidRPr="004524F6">
        <w:rPr>
          <w:rFonts w:ascii="Calibri" w:eastAsia="Calibri" w:hAnsi="Calibri" w:cs="Calibri"/>
        </w:rPr>
        <w:t xml:space="preserve">2023 ŘSD na opravy a údržbu dálnic a silnic I. třídy </w:t>
      </w:r>
      <w:r>
        <w:rPr>
          <w:rFonts w:ascii="Calibri" w:eastAsia="Calibri" w:hAnsi="Calibri" w:cs="Calibri"/>
        </w:rPr>
        <w:t xml:space="preserve">vynaložilo celkem </w:t>
      </w:r>
      <w:r w:rsidRPr="004524F6">
        <w:rPr>
          <w:rFonts w:ascii="Calibri" w:eastAsia="Calibri" w:hAnsi="Calibri" w:cs="Calibri"/>
        </w:rPr>
        <w:t>73,5</w:t>
      </w:r>
      <w:r>
        <w:rPr>
          <w:rFonts w:ascii="Calibri" w:eastAsia="Calibri" w:hAnsi="Calibri" w:cs="Calibri"/>
        </w:rPr>
        <w:t>0</w:t>
      </w:r>
      <w:r w:rsidRPr="004524F6">
        <w:rPr>
          <w:rFonts w:ascii="Calibri" w:eastAsia="Calibri" w:hAnsi="Calibri" w:cs="Calibri"/>
        </w:rPr>
        <w:t xml:space="preserve"> mld. Kč</w:t>
      </w:r>
      <w:r>
        <w:rPr>
          <w:rFonts w:ascii="Calibri" w:eastAsia="Calibri" w:hAnsi="Calibri" w:cs="Calibri"/>
        </w:rPr>
        <w:t xml:space="preserve"> poskytnutých z rozpočtu SFDI. </w:t>
      </w:r>
      <w:r w:rsidRPr="00974D7F">
        <w:rPr>
          <w:rFonts w:cstheme="minorHAnsi"/>
        </w:rPr>
        <w:t>V roce 2006 ŘSD odhad</w:t>
      </w:r>
      <w:r>
        <w:rPr>
          <w:rFonts w:cstheme="minorHAnsi"/>
        </w:rPr>
        <w:t>l</w:t>
      </w:r>
      <w:r w:rsidRPr="00974D7F">
        <w:rPr>
          <w:rFonts w:cstheme="minorHAnsi"/>
        </w:rPr>
        <w:t xml:space="preserve">o výši škod </w:t>
      </w:r>
      <w:r>
        <w:rPr>
          <w:rFonts w:cstheme="minorHAnsi"/>
        </w:rPr>
        <w:t>vzniklých</w:t>
      </w:r>
      <w:r w:rsidRPr="00974D7F">
        <w:rPr>
          <w:rFonts w:cstheme="minorHAnsi"/>
        </w:rPr>
        <w:t xml:space="preserve"> </w:t>
      </w:r>
      <w:r>
        <w:rPr>
          <w:rFonts w:cstheme="minorHAnsi"/>
        </w:rPr>
        <w:t>na dálniční dopravní infrastruktuře v důsledku</w:t>
      </w:r>
      <w:r w:rsidRPr="00974D7F">
        <w:rPr>
          <w:rFonts w:cstheme="minorHAnsi"/>
        </w:rPr>
        <w:t> jízd přetížených vozidel na</w:t>
      </w:r>
      <w:r>
        <w:rPr>
          <w:rFonts w:cstheme="minorHAnsi"/>
        </w:rPr>
        <w:t xml:space="preserve"> více než</w:t>
      </w:r>
      <w:r w:rsidRPr="00974D7F">
        <w:rPr>
          <w:rFonts w:cstheme="minorHAnsi"/>
        </w:rPr>
        <w:t xml:space="preserve"> 6</w:t>
      </w:r>
      <w:r>
        <w:rPr>
          <w:rFonts w:cstheme="minorHAnsi"/>
        </w:rPr>
        <w:t>0</w:t>
      </w:r>
      <w:r w:rsidRPr="00974D7F">
        <w:rPr>
          <w:rFonts w:cstheme="minorHAnsi"/>
        </w:rPr>
        <w:t>0 mil. Kč ročně</w:t>
      </w:r>
      <w:r>
        <w:rPr>
          <w:rFonts w:cstheme="minorHAnsi"/>
        </w:rPr>
        <w:t xml:space="preserve"> (blíže viz odst. 4.2</w:t>
      </w:r>
      <w:r w:rsidR="00401392">
        <w:rPr>
          <w:rFonts w:cstheme="minorHAnsi"/>
        </w:rPr>
        <w:t>–</w:t>
      </w:r>
      <w:r>
        <w:rPr>
          <w:rFonts w:cstheme="minorHAnsi"/>
        </w:rPr>
        <w:t>4.4)</w:t>
      </w:r>
      <w:r w:rsidRPr="00974D7F">
        <w:rPr>
          <w:rFonts w:cstheme="minorHAnsi"/>
        </w:rPr>
        <w:t>.</w:t>
      </w:r>
    </w:p>
  </w:footnote>
  <w:footnote w:id="4">
    <w:p w14:paraId="4951F1E4" w14:textId="6ADC8D9A" w:rsidR="008B7569" w:rsidRPr="000B6B07" w:rsidRDefault="008B7569" w:rsidP="004459F3">
      <w:pPr>
        <w:pStyle w:val="Textpoznpodarou"/>
        <w:ind w:left="284" w:hanging="284"/>
        <w:jc w:val="both"/>
      </w:pPr>
      <w:r w:rsidRPr="000B6B07">
        <w:rPr>
          <w:rStyle w:val="Znakapoznpodarou"/>
        </w:rPr>
        <w:footnoteRef/>
      </w:r>
      <w:r w:rsidRPr="000B6B07">
        <w:t xml:space="preserve"> </w:t>
      </w:r>
      <w:r w:rsidR="000B6B07">
        <w:tab/>
      </w:r>
      <w:r w:rsidRPr="000B6B07">
        <w:t xml:space="preserve">Ustanovení § </w:t>
      </w:r>
      <w:r w:rsidRPr="000B6B07">
        <w:rPr>
          <w:rFonts w:cstheme="minorHAnsi"/>
        </w:rPr>
        <w:t xml:space="preserve">22 zákona České národní rady č. 2/1969 Sb., o zřízení ministerstev a jiných ústředních orgánů státní správy České republiky. </w:t>
      </w:r>
    </w:p>
  </w:footnote>
  <w:footnote w:id="5">
    <w:p w14:paraId="67B989B9" w14:textId="4C2871C3" w:rsidR="008B7569" w:rsidRPr="000B6B07" w:rsidRDefault="008B7569" w:rsidP="004459F3">
      <w:pPr>
        <w:pStyle w:val="Textpoznpodarou"/>
        <w:ind w:left="284" w:hanging="284"/>
        <w:contextualSpacing/>
      </w:pPr>
      <w:r w:rsidRPr="000B6B07">
        <w:rPr>
          <w:rStyle w:val="Znakapoznpodarou"/>
        </w:rPr>
        <w:footnoteRef/>
      </w:r>
      <w:r w:rsidRPr="000B6B07">
        <w:t xml:space="preserve"> </w:t>
      </w:r>
      <w:r w:rsidR="000B6B07">
        <w:tab/>
      </w:r>
      <w:r w:rsidRPr="000B6B07">
        <w:t>Ustanovení § 38d odst. 2 zákona č. 13/1997 Sb., o pozemních komunikacích.</w:t>
      </w:r>
    </w:p>
  </w:footnote>
  <w:footnote w:id="6">
    <w:p w14:paraId="295E1F78" w14:textId="3B495F42" w:rsidR="008B7569" w:rsidRPr="000B6B07" w:rsidRDefault="008B7569" w:rsidP="004459F3">
      <w:pPr>
        <w:spacing w:after="0" w:line="240" w:lineRule="auto"/>
        <w:ind w:left="284" w:hanging="284"/>
        <w:contextualSpacing/>
        <w:jc w:val="both"/>
        <w:rPr>
          <w:sz w:val="20"/>
          <w:szCs w:val="20"/>
        </w:rPr>
      </w:pPr>
      <w:r w:rsidRPr="004459F3">
        <w:rPr>
          <w:rStyle w:val="Znakapoznpodarou"/>
          <w:sz w:val="20"/>
          <w:szCs w:val="20"/>
        </w:rPr>
        <w:footnoteRef/>
      </w:r>
      <w:r w:rsidRPr="000B6B07">
        <w:rPr>
          <w:sz w:val="20"/>
          <w:szCs w:val="20"/>
        </w:rPr>
        <w:t xml:space="preserve"> </w:t>
      </w:r>
      <w:r w:rsidR="000B6B07">
        <w:rPr>
          <w:sz w:val="20"/>
          <w:szCs w:val="20"/>
        </w:rPr>
        <w:tab/>
      </w:r>
      <w:r w:rsidRPr="000B6B07">
        <w:rPr>
          <w:sz w:val="20"/>
          <w:szCs w:val="20"/>
        </w:rPr>
        <w:t xml:space="preserve">V období do 31. 12. 2023 ustanovení § 53 odst. 4 zákona č. 218/2000 Sb., o rozpočtových pravidlech </w:t>
      </w:r>
      <w:r w:rsidR="005F2031">
        <w:rPr>
          <w:sz w:val="20"/>
          <w:szCs w:val="20"/>
        </w:rPr>
        <w:br/>
      </w:r>
      <w:r w:rsidRPr="000B6B07">
        <w:rPr>
          <w:sz w:val="20"/>
          <w:szCs w:val="20"/>
        </w:rPr>
        <w:t>a</w:t>
      </w:r>
      <w:r w:rsidR="005F2031">
        <w:rPr>
          <w:sz w:val="20"/>
          <w:szCs w:val="20"/>
        </w:rPr>
        <w:t xml:space="preserve"> </w:t>
      </w:r>
      <w:r w:rsidRPr="000B6B07">
        <w:rPr>
          <w:sz w:val="20"/>
          <w:szCs w:val="20"/>
        </w:rPr>
        <w:t>o</w:t>
      </w:r>
      <w:r w:rsidR="005F2031">
        <w:rPr>
          <w:sz w:val="20"/>
          <w:szCs w:val="20"/>
        </w:rPr>
        <w:t xml:space="preserve"> </w:t>
      </w:r>
      <w:r w:rsidRPr="000B6B07">
        <w:rPr>
          <w:sz w:val="20"/>
          <w:szCs w:val="20"/>
        </w:rPr>
        <w:t>změně některých souvisejících zákonů (rozpočtová pravidla)</w:t>
      </w:r>
      <w:r w:rsidR="000B6B07">
        <w:rPr>
          <w:sz w:val="20"/>
          <w:szCs w:val="20"/>
        </w:rPr>
        <w:t>,</w:t>
      </w:r>
      <w:r w:rsidRPr="000B6B07">
        <w:rPr>
          <w:sz w:val="20"/>
          <w:szCs w:val="20"/>
        </w:rPr>
        <w:t xml:space="preserve"> a ustanovení § 14 odst. 3 zákona </w:t>
      </w:r>
      <w:r w:rsidR="000B6B07">
        <w:rPr>
          <w:sz w:val="20"/>
          <w:szCs w:val="20"/>
        </w:rPr>
        <w:br/>
      </w:r>
      <w:r w:rsidRPr="000B6B07">
        <w:rPr>
          <w:sz w:val="20"/>
          <w:szCs w:val="20"/>
        </w:rPr>
        <w:t>č. 219/2000 Sb., o majetku České republiky a jejím vystupování v právních vztazích; v období od 1. 1. 2024 ustanovení § 17b odst. 1 a odst. 2 zákona č. 77/1997 Sb., o státním podniku.</w:t>
      </w:r>
    </w:p>
  </w:footnote>
  <w:footnote w:id="7">
    <w:p w14:paraId="633A3632" w14:textId="2512FF04" w:rsidR="008B7569" w:rsidRDefault="008B7569" w:rsidP="004459F3">
      <w:pPr>
        <w:pStyle w:val="Textpoznpodarou"/>
        <w:spacing w:line="252" w:lineRule="auto"/>
        <w:ind w:left="284" w:hanging="284"/>
        <w:contextualSpacing/>
        <w:jc w:val="both"/>
      </w:pPr>
      <w:r>
        <w:rPr>
          <w:rStyle w:val="Znakapoznpodarou"/>
        </w:rPr>
        <w:footnoteRef/>
      </w:r>
      <w:r>
        <w:t xml:space="preserve"> </w:t>
      </w:r>
      <w:r w:rsidR="000B6B07">
        <w:tab/>
      </w:r>
      <w:r>
        <w:t xml:space="preserve">Zejména umožnění provádění vysokorychlostního </w:t>
      </w:r>
      <w:r w:rsidRPr="004D142D">
        <w:rPr>
          <w:rFonts w:ascii="Calibri" w:eastAsia="Calibri" w:hAnsi="Calibri" w:cs="Calibri"/>
        </w:rPr>
        <w:t>kontrolního vážení v omezeném rozsahu</w:t>
      </w:r>
      <w:r>
        <w:rPr>
          <w:rFonts w:ascii="Calibri" w:eastAsia="Calibri" w:hAnsi="Calibri" w:cs="Calibri"/>
        </w:rPr>
        <w:t xml:space="preserve"> a s</w:t>
      </w:r>
      <w:r w:rsidRPr="004D142D">
        <w:rPr>
          <w:rFonts w:ascii="Calibri" w:eastAsia="Calibri" w:hAnsi="Calibri" w:cs="Calibri"/>
        </w:rPr>
        <w:t xml:space="preserve"> měsíčními limity pro </w:t>
      </w:r>
      <w:r>
        <w:rPr>
          <w:rFonts w:ascii="Calibri" w:eastAsia="Calibri" w:hAnsi="Calibri" w:cs="Calibri"/>
        </w:rPr>
        <w:t>p</w:t>
      </w:r>
      <w:r w:rsidRPr="004D142D">
        <w:rPr>
          <w:rFonts w:ascii="Calibri" w:eastAsia="Calibri" w:hAnsi="Calibri" w:cs="Calibri"/>
        </w:rPr>
        <w:t>očet zjiš</w:t>
      </w:r>
      <w:r>
        <w:rPr>
          <w:rFonts w:ascii="Calibri" w:eastAsia="Calibri" w:hAnsi="Calibri" w:cs="Calibri"/>
        </w:rPr>
        <w:t>tě</w:t>
      </w:r>
      <w:r w:rsidRPr="004D142D">
        <w:rPr>
          <w:rFonts w:ascii="Calibri" w:eastAsia="Calibri" w:hAnsi="Calibri" w:cs="Calibri"/>
        </w:rPr>
        <w:t>ných porušení hmotnostních limitů</w:t>
      </w:r>
      <w:r>
        <w:rPr>
          <w:rFonts w:ascii="Calibri" w:eastAsia="Calibri" w:hAnsi="Calibri" w:cs="Calibri"/>
        </w:rPr>
        <w:t>, upuštění od postihu přetížení náprav vozidla.</w:t>
      </w:r>
      <w:r>
        <w:t xml:space="preserve"> </w:t>
      </w:r>
    </w:p>
  </w:footnote>
  <w:footnote w:id="8">
    <w:p w14:paraId="6C06DF76" w14:textId="4B3E0357" w:rsidR="008B7569" w:rsidRDefault="008B7569" w:rsidP="000B6B07">
      <w:pPr>
        <w:pStyle w:val="Textpoznpodarou"/>
        <w:ind w:left="284" w:hanging="284"/>
        <w:contextualSpacing/>
      </w:pPr>
      <w:r>
        <w:rPr>
          <w:rStyle w:val="Znakapoznpodarou"/>
        </w:rPr>
        <w:footnoteRef/>
      </w:r>
      <w:r>
        <w:t xml:space="preserve"> </w:t>
      </w:r>
      <w:r w:rsidR="000B6B07">
        <w:tab/>
      </w:r>
      <w:r w:rsidRPr="004459F3">
        <w:rPr>
          <w:i/>
          <w:iCs/>
        </w:rPr>
        <w:t xml:space="preserve">Studie </w:t>
      </w:r>
      <w:r w:rsidR="00E5179B" w:rsidRPr="004459F3">
        <w:rPr>
          <w:i/>
          <w:iCs/>
        </w:rPr>
        <w:t xml:space="preserve">– </w:t>
      </w:r>
      <w:r w:rsidRPr="004459F3">
        <w:rPr>
          <w:i/>
          <w:iCs/>
        </w:rPr>
        <w:t>ITS a C-ITS pro ochranu dálniční a silniční sítě ŘSD</w:t>
      </w:r>
      <w:r>
        <w:t>.</w:t>
      </w:r>
    </w:p>
  </w:footnote>
  <w:footnote w:id="9">
    <w:p w14:paraId="30032DF3" w14:textId="08D83F2C" w:rsidR="00B50195" w:rsidRDefault="00B50195" w:rsidP="00B50195">
      <w:pPr>
        <w:pStyle w:val="Textpoznpodarou"/>
        <w:ind w:left="284" w:hanging="284"/>
        <w:jc w:val="both"/>
      </w:pPr>
      <w:r>
        <w:rPr>
          <w:rStyle w:val="Znakapoznpodarou"/>
        </w:rPr>
        <w:footnoteRef/>
      </w:r>
      <w:r>
        <w:t xml:space="preserve"> </w:t>
      </w:r>
      <w:r>
        <w:tab/>
        <w:t>Zejména problematika tzv. pokračujícího přestupku, nadměrných nákladů nebo identifikace provozovatele vozidla registrovaného v zahraničí.</w:t>
      </w:r>
    </w:p>
  </w:footnote>
  <w:footnote w:id="10">
    <w:p w14:paraId="76BA57DA" w14:textId="1464EB8A" w:rsidR="005E4AD6" w:rsidRDefault="005E4AD6" w:rsidP="005E4AD6">
      <w:pPr>
        <w:pStyle w:val="Textpoznpodarou"/>
        <w:ind w:left="284" w:hanging="284"/>
      </w:pPr>
      <w:r>
        <w:rPr>
          <w:rStyle w:val="Znakapoznpodarou"/>
        </w:rPr>
        <w:footnoteRef/>
      </w:r>
      <w:r>
        <w:t xml:space="preserve"> </w:t>
      </w:r>
      <w:r>
        <w:tab/>
      </w:r>
      <w:r w:rsidRPr="005E4AD6">
        <w:t>Ustanovení § 38d odst. 2 zákona č. 13/1997 Sb.</w:t>
      </w:r>
    </w:p>
  </w:footnote>
  <w:footnote w:id="11">
    <w:p w14:paraId="0BBD1704" w14:textId="5610C30C" w:rsidR="008B7569" w:rsidRDefault="008B7569" w:rsidP="000B6B07">
      <w:pPr>
        <w:pStyle w:val="Textpoznpodarou"/>
        <w:ind w:left="284" w:hanging="284"/>
        <w:jc w:val="both"/>
      </w:pPr>
      <w:r>
        <w:rPr>
          <w:rStyle w:val="Znakapoznpodarou"/>
        </w:rPr>
        <w:footnoteRef/>
      </w:r>
      <w:r>
        <w:t xml:space="preserve"> </w:t>
      </w:r>
      <w:r w:rsidR="000B6B07">
        <w:tab/>
      </w:r>
      <w:r>
        <w:t>Z</w:t>
      </w:r>
      <w:r w:rsidRPr="007913EA">
        <w:t>měna ustanovení § 51c odst. 2 vyhlášky č. 104/1997 Sb.</w:t>
      </w:r>
      <w:r w:rsidRPr="00BB4166">
        <w:rPr>
          <w:rFonts w:cstheme="minorHAnsi"/>
        </w:rPr>
        <w:t>, kterou se provádí</w:t>
      </w:r>
      <w:r w:rsidR="005E4AD6">
        <w:rPr>
          <w:rFonts w:cstheme="minorHAnsi"/>
        </w:rPr>
        <w:t xml:space="preserve"> </w:t>
      </w:r>
      <w:hyperlink r:id="rId1" w:history="1">
        <w:r w:rsidRPr="00BB4166">
          <w:rPr>
            <w:rFonts w:cstheme="minorHAnsi"/>
          </w:rPr>
          <w:t>zákon</w:t>
        </w:r>
      </w:hyperlink>
      <w:r w:rsidR="005E4AD6">
        <w:t xml:space="preserve"> </w:t>
      </w:r>
      <w:r w:rsidRPr="00BB4166">
        <w:rPr>
          <w:rFonts w:cstheme="minorHAnsi"/>
        </w:rPr>
        <w:t>o pozemních komunikacích</w:t>
      </w:r>
      <w:r>
        <w:rPr>
          <w:rFonts w:cstheme="minorHAnsi"/>
        </w:rPr>
        <w:t xml:space="preserve">, </w:t>
      </w:r>
      <w:r w:rsidRPr="007913EA">
        <w:t>s účinností od 1. 4. 2022</w:t>
      </w:r>
      <w:r>
        <w:t xml:space="preserve"> a změna </w:t>
      </w:r>
      <w:r w:rsidRPr="007913EA">
        <w:t>ustanovení § 51c odst. 1 písm. a) a b) vyhlášky č. 104/1997 Sb. s účinností od 1. 7. 2024</w:t>
      </w:r>
      <w:r>
        <w:t>.</w:t>
      </w:r>
    </w:p>
  </w:footnote>
  <w:footnote w:id="12">
    <w:p w14:paraId="3A1CD60A" w14:textId="7028AB39" w:rsidR="008B7569" w:rsidRPr="00391EF3" w:rsidRDefault="008B7569" w:rsidP="004459F3">
      <w:pPr>
        <w:spacing w:after="0" w:line="240" w:lineRule="auto"/>
        <w:ind w:left="284" w:hanging="284"/>
        <w:contextualSpacing/>
        <w:jc w:val="both"/>
        <w:rPr>
          <w:sz w:val="20"/>
          <w:szCs w:val="20"/>
        </w:rPr>
      </w:pPr>
      <w:r w:rsidRPr="00391EF3">
        <w:rPr>
          <w:rStyle w:val="Znakapoznpodarou"/>
        </w:rPr>
        <w:footnoteRef/>
      </w:r>
      <w:r w:rsidRPr="00391EF3">
        <w:rPr>
          <w:sz w:val="20"/>
          <w:szCs w:val="20"/>
        </w:rPr>
        <w:t xml:space="preserve"> </w:t>
      </w:r>
      <w:r w:rsidR="000B6B07">
        <w:rPr>
          <w:sz w:val="20"/>
          <w:szCs w:val="20"/>
        </w:rPr>
        <w:tab/>
      </w:r>
      <w:r>
        <w:rPr>
          <w:sz w:val="20"/>
          <w:szCs w:val="20"/>
        </w:rPr>
        <w:t>U</w:t>
      </w:r>
      <w:r w:rsidRPr="00391EF3">
        <w:rPr>
          <w:sz w:val="20"/>
          <w:szCs w:val="20"/>
        </w:rPr>
        <w:t>stanovení § 53 odst. 4 zákona č. 218/2000 Sb.</w:t>
      </w:r>
    </w:p>
  </w:footnote>
  <w:footnote w:id="13">
    <w:p w14:paraId="1FCBA35D" w14:textId="7F4C2135" w:rsidR="008B7569" w:rsidRDefault="008B7569" w:rsidP="004459F3">
      <w:pPr>
        <w:pStyle w:val="Textpoznpodarou"/>
        <w:ind w:left="284" w:hanging="284"/>
      </w:pPr>
      <w:r>
        <w:rPr>
          <w:rStyle w:val="Znakapoznpodarou"/>
        </w:rPr>
        <w:footnoteRef/>
      </w:r>
      <w:r>
        <w:t xml:space="preserve"> </w:t>
      </w:r>
      <w:r w:rsidR="000B6B07">
        <w:tab/>
      </w:r>
      <w:r>
        <w:t>CSPSD je p</w:t>
      </w:r>
      <w:r w:rsidRPr="00B93EEF">
        <w:rPr>
          <w:rFonts w:cstheme="minorHAnsi"/>
        </w:rPr>
        <w:t>říspěvkov</w:t>
      </w:r>
      <w:r>
        <w:rPr>
          <w:rFonts w:cstheme="minorHAnsi"/>
        </w:rPr>
        <w:t>ou</w:t>
      </w:r>
      <w:r w:rsidRPr="00B93EEF">
        <w:rPr>
          <w:rFonts w:cstheme="minorHAnsi"/>
        </w:rPr>
        <w:t xml:space="preserve"> organizac</w:t>
      </w:r>
      <w:r>
        <w:rPr>
          <w:rFonts w:cstheme="minorHAnsi"/>
        </w:rPr>
        <w:t>í</w:t>
      </w:r>
      <w:r w:rsidRPr="00B93EEF">
        <w:rPr>
          <w:rFonts w:cstheme="minorHAnsi"/>
        </w:rPr>
        <w:t xml:space="preserve"> MD.</w:t>
      </w:r>
    </w:p>
  </w:footnote>
  <w:footnote w:id="14">
    <w:p w14:paraId="3ECE52C7" w14:textId="2A55A34A" w:rsidR="008B7569" w:rsidRDefault="008B7569" w:rsidP="004459F3">
      <w:pPr>
        <w:pStyle w:val="Textpoznpodarou"/>
        <w:ind w:left="284" w:hanging="284"/>
        <w:jc w:val="both"/>
      </w:pPr>
      <w:r>
        <w:rPr>
          <w:rStyle w:val="Znakapoznpodarou"/>
        </w:rPr>
        <w:footnoteRef/>
      </w:r>
      <w:r>
        <w:tab/>
      </w:r>
      <w:r w:rsidRPr="006F4420">
        <w:t xml:space="preserve">Kontrolní závěr z kontrolní akce č. 18/34 </w:t>
      </w:r>
      <w:r w:rsidR="00EA3AB4">
        <w:rPr>
          <w:rFonts w:cstheme="minorHAnsi"/>
        </w:rPr>
        <w:t>–</w:t>
      </w:r>
      <w:r w:rsidR="00EA3AB4">
        <w:t xml:space="preserve"> </w:t>
      </w:r>
      <w:r w:rsidRPr="004459F3">
        <w:rPr>
          <w:i/>
          <w:iCs/>
        </w:rPr>
        <w:t>Implementace inteligentních dopravních systémů (ITS) v silniční infrastruktuře České republiky</w:t>
      </w:r>
      <w:r>
        <w:t xml:space="preserve"> a </w:t>
      </w:r>
      <w:r w:rsidR="00EA3AB4">
        <w:t>k</w:t>
      </w:r>
      <w:r w:rsidRPr="006F4420">
        <w:t xml:space="preserve">ontrolní závěr z kontrolní akce č. 21/37 </w:t>
      </w:r>
      <w:r w:rsidR="00EA3AB4">
        <w:rPr>
          <w:rFonts w:cstheme="minorHAnsi"/>
        </w:rPr>
        <w:t>–</w:t>
      </w:r>
      <w:r w:rsidR="00EA3AB4">
        <w:t xml:space="preserve"> </w:t>
      </w:r>
      <w:r w:rsidRPr="004459F3">
        <w:rPr>
          <w:i/>
          <w:iCs/>
        </w:rPr>
        <w:t>Peněžní prostředky státu a</w:t>
      </w:r>
      <w:r w:rsidR="005E4AD6" w:rsidRPr="004459F3">
        <w:rPr>
          <w:i/>
          <w:iCs/>
        </w:rPr>
        <w:t> </w:t>
      </w:r>
      <w:r w:rsidRPr="004459F3">
        <w:rPr>
          <w:i/>
          <w:iCs/>
        </w:rPr>
        <w:t>Evropské unie určené na modernizaci dálnice D1</w:t>
      </w:r>
      <w:r>
        <w:t>.</w:t>
      </w:r>
    </w:p>
  </w:footnote>
  <w:footnote w:id="15">
    <w:p w14:paraId="78FADF59" w14:textId="6D3B0535" w:rsidR="008B7569" w:rsidRPr="003E4040" w:rsidRDefault="008B7569" w:rsidP="000B6B07">
      <w:pPr>
        <w:pStyle w:val="Textpoznpodarou"/>
        <w:ind w:left="284" w:hanging="284"/>
        <w:jc w:val="both"/>
        <w:rPr>
          <w:rFonts w:cstheme="minorHAnsi"/>
        </w:rPr>
      </w:pPr>
      <w:r>
        <w:rPr>
          <w:rStyle w:val="Znakapoznpodarou"/>
        </w:rPr>
        <w:footnoteRef/>
      </w:r>
      <w:r>
        <w:t xml:space="preserve"> </w:t>
      </w:r>
      <w:r w:rsidR="000B6B07">
        <w:tab/>
      </w:r>
      <w:r>
        <w:t xml:space="preserve">Jedná se o základní principy aktualizované </w:t>
      </w:r>
      <w:r w:rsidRPr="004459F3">
        <w:rPr>
          <w:i/>
          <w:iCs/>
        </w:rPr>
        <w:t xml:space="preserve">Metodiky </w:t>
      </w:r>
      <w:r w:rsidRPr="004459F3">
        <w:rPr>
          <w:rFonts w:cstheme="minorHAnsi"/>
          <w:i/>
          <w:iCs/>
        </w:rPr>
        <w:t>přípravy veřejných strategií</w:t>
      </w:r>
      <w:r>
        <w:rPr>
          <w:rFonts w:cstheme="minorHAnsi"/>
        </w:rPr>
        <w:t xml:space="preserve">, kterou </w:t>
      </w:r>
      <w:r w:rsidRPr="00D465FA">
        <w:rPr>
          <w:rFonts w:cstheme="minorHAnsi"/>
        </w:rPr>
        <w:t>schválila vláda ČR usnesením ze dne</w:t>
      </w:r>
      <w:r>
        <w:rPr>
          <w:rFonts w:cstheme="minorHAnsi"/>
        </w:rPr>
        <w:t xml:space="preserve"> </w:t>
      </w:r>
      <w:r w:rsidRPr="006E71E6">
        <w:rPr>
          <w:rFonts w:cstheme="minorHAnsi"/>
        </w:rPr>
        <w:t>28. ledna 2019</w:t>
      </w:r>
      <w:r>
        <w:rPr>
          <w:rFonts w:cstheme="minorHAnsi"/>
        </w:rPr>
        <w:t xml:space="preserve"> </w:t>
      </w:r>
      <w:r w:rsidRPr="006E71E6">
        <w:rPr>
          <w:rFonts w:cstheme="minorHAnsi"/>
        </w:rPr>
        <w:t>č. 71</w:t>
      </w:r>
      <w:r>
        <w:rPr>
          <w:rFonts w:cstheme="minorHAnsi"/>
        </w:rPr>
        <w:t xml:space="preserve">, </w:t>
      </w:r>
      <w:r w:rsidRPr="004459F3">
        <w:rPr>
          <w:rFonts w:cstheme="minorHAnsi"/>
          <w:i/>
          <w:iCs/>
        </w:rPr>
        <w:t xml:space="preserve">o aktualizaci Metodiky </w:t>
      </w:r>
      <w:r w:rsidR="00FE3686" w:rsidRPr="004459F3">
        <w:rPr>
          <w:rFonts w:cstheme="minorHAnsi"/>
          <w:i/>
          <w:iCs/>
        </w:rPr>
        <w:t xml:space="preserve">přípravy </w:t>
      </w:r>
      <w:r w:rsidRPr="004459F3">
        <w:rPr>
          <w:rFonts w:cstheme="minorHAnsi"/>
          <w:i/>
          <w:iCs/>
        </w:rPr>
        <w:t>veřejných strategií</w:t>
      </w:r>
      <w:r w:rsidRPr="006E71E6">
        <w:rPr>
          <w:rFonts w:cstheme="minorHAnsi"/>
        </w:rPr>
        <w:t>.</w:t>
      </w:r>
    </w:p>
  </w:footnote>
  <w:footnote w:id="16">
    <w:p w14:paraId="54FA2CB9" w14:textId="415F63BF" w:rsidR="005E4AD6" w:rsidRDefault="005E4AD6" w:rsidP="005E4AD6">
      <w:pPr>
        <w:pStyle w:val="Textpoznpodarou"/>
        <w:ind w:left="284" w:hanging="284"/>
      </w:pPr>
      <w:r>
        <w:rPr>
          <w:rStyle w:val="Znakapoznpodarou"/>
        </w:rPr>
        <w:footnoteRef/>
      </w:r>
      <w:r>
        <w:t xml:space="preserve"> </w:t>
      </w:r>
      <w:r>
        <w:tab/>
      </w:r>
      <w:r w:rsidRPr="005E4AD6">
        <w:t>Ustanovení § 43 odst. 3 zákona č. 13/1997 Sb</w:t>
      </w:r>
      <w:r>
        <w:t>.</w:t>
      </w:r>
    </w:p>
  </w:footnote>
  <w:footnote w:id="17">
    <w:p w14:paraId="34EF4701" w14:textId="32662780" w:rsidR="005E4AD6" w:rsidRDefault="005E4AD6" w:rsidP="005E4AD6">
      <w:pPr>
        <w:pStyle w:val="Textpoznpodarou"/>
        <w:ind w:left="284" w:hanging="284"/>
        <w:jc w:val="both"/>
      </w:pPr>
      <w:r>
        <w:rPr>
          <w:rStyle w:val="Znakapoznpodarou"/>
        </w:rPr>
        <w:footnoteRef/>
      </w:r>
      <w:r>
        <w:t xml:space="preserve"> </w:t>
      </w:r>
      <w:r>
        <w:tab/>
      </w:r>
      <w:r w:rsidRPr="00BB4166">
        <w:rPr>
          <w:rFonts w:cstheme="minorHAnsi"/>
        </w:rPr>
        <w:t>Ust</w:t>
      </w:r>
      <w:r>
        <w:rPr>
          <w:rFonts w:cstheme="minorHAnsi"/>
        </w:rPr>
        <w:t>anovení</w:t>
      </w:r>
      <w:r w:rsidRPr="00BB4166">
        <w:rPr>
          <w:rFonts w:cstheme="minorHAnsi"/>
        </w:rPr>
        <w:t xml:space="preserve"> § 43a odst. 1 a 2 zák</w:t>
      </w:r>
      <w:r w:rsidR="00FE3686">
        <w:rPr>
          <w:rFonts w:cstheme="minorHAnsi"/>
        </w:rPr>
        <w:t>ona</w:t>
      </w:r>
      <w:r w:rsidRPr="00BB4166">
        <w:rPr>
          <w:rFonts w:cstheme="minorHAnsi"/>
        </w:rPr>
        <w:t xml:space="preserve"> č. 361/2000 Sb., o provozu na pozemních komunikacích a o změnách některých zákonů (zákon o silničním provozu).</w:t>
      </w:r>
    </w:p>
  </w:footnote>
  <w:footnote w:id="18">
    <w:p w14:paraId="767CB5D6" w14:textId="14061645" w:rsidR="008B7569" w:rsidRPr="00BB4166" w:rsidRDefault="008B7569" w:rsidP="004459F3">
      <w:pPr>
        <w:pStyle w:val="Textpoznpodarou"/>
        <w:ind w:left="284" w:hanging="284"/>
        <w:jc w:val="both"/>
        <w:rPr>
          <w:rFonts w:cstheme="minorHAnsi"/>
        </w:rPr>
      </w:pPr>
      <w:r w:rsidRPr="00BB4166">
        <w:rPr>
          <w:rStyle w:val="Znakapoznpodarou"/>
          <w:rFonts w:cstheme="minorHAnsi"/>
        </w:rPr>
        <w:footnoteRef/>
      </w:r>
      <w:r w:rsidRPr="00BB4166">
        <w:rPr>
          <w:rFonts w:cstheme="minorHAnsi"/>
        </w:rPr>
        <w:t xml:space="preserve"> </w:t>
      </w:r>
      <w:r w:rsidR="000B6B07">
        <w:rPr>
          <w:rFonts w:cstheme="minorHAnsi"/>
        </w:rPr>
        <w:tab/>
      </w:r>
      <w:r w:rsidRPr="00BB4166">
        <w:rPr>
          <w:rFonts w:cstheme="minorHAnsi"/>
        </w:rPr>
        <w:t>Ust</w:t>
      </w:r>
      <w:r>
        <w:rPr>
          <w:rFonts w:cstheme="minorHAnsi"/>
        </w:rPr>
        <w:t xml:space="preserve">anovení </w:t>
      </w:r>
      <w:r w:rsidRPr="00BB4166">
        <w:rPr>
          <w:rFonts w:cstheme="minorHAnsi"/>
        </w:rPr>
        <w:t>§ 25 zák</w:t>
      </w:r>
      <w:r w:rsidR="00FE3686">
        <w:rPr>
          <w:rFonts w:cstheme="minorHAnsi"/>
        </w:rPr>
        <w:t>ona</w:t>
      </w:r>
      <w:r w:rsidRPr="00BB4166">
        <w:rPr>
          <w:rFonts w:cstheme="minorHAnsi"/>
        </w:rPr>
        <w:t xml:space="preserve"> č. 13/1997 Sb.</w:t>
      </w:r>
    </w:p>
  </w:footnote>
  <w:footnote w:id="19">
    <w:p w14:paraId="2958D8A4" w14:textId="134B50B9" w:rsidR="008B7569" w:rsidRPr="00BB4166" w:rsidRDefault="008B7569" w:rsidP="004459F3">
      <w:pPr>
        <w:pStyle w:val="Textpoznpodarou"/>
        <w:ind w:left="284" w:hanging="284"/>
        <w:jc w:val="both"/>
        <w:rPr>
          <w:rFonts w:cstheme="minorHAnsi"/>
        </w:rPr>
      </w:pPr>
      <w:r w:rsidRPr="00BB4166">
        <w:rPr>
          <w:rStyle w:val="Znakapoznpodarou"/>
          <w:rFonts w:cstheme="minorHAnsi"/>
        </w:rPr>
        <w:footnoteRef/>
      </w:r>
      <w:r w:rsidRPr="00BB4166">
        <w:rPr>
          <w:rFonts w:cstheme="minorHAnsi"/>
        </w:rPr>
        <w:t xml:space="preserve"> </w:t>
      </w:r>
      <w:r w:rsidR="000B6B07">
        <w:rPr>
          <w:rFonts w:cstheme="minorHAnsi"/>
        </w:rPr>
        <w:tab/>
      </w:r>
      <w:r w:rsidRPr="00BB4166">
        <w:rPr>
          <w:rFonts w:cstheme="minorHAnsi"/>
        </w:rPr>
        <w:t>Ust</w:t>
      </w:r>
      <w:r>
        <w:rPr>
          <w:rFonts w:cstheme="minorHAnsi"/>
        </w:rPr>
        <w:t>anovení</w:t>
      </w:r>
      <w:r w:rsidRPr="00BB4166">
        <w:rPr>
          <w:rFonts w:cstheme="minorHAnsi"/>
        </w:rPr>
        <w:t xml:space="preserve"> § 51a a násl. vyhl</w:t>
      </w:r>
      <w:r>
        <w:rPr>
          <w:rFonts w:cstheme="minorHAnsi"/>
        </w:rPr>
        <w:t>ášky</w:t>
      </w:r>
      <w:r w:rsidRPr="00BB4166">
        <w:rPr>
          <w:rFonts w:cstheme="minorHAnsi"/>
        </w:rPr>
        <w:t xml:space="preserve"> č. 104/1997 Sb.</w:t>
      </w:r>
    </w:p>
  </w:footnote>
  <w:footnote w:id="20">
    <w:p w14:paraId="08FD796D" w14:textId="2113678E" w:rsidR="008B7569" w:rsidRPr="009A6018" w:rsidRDefault="008B7569" w:rsidP="004459F3">
      <w:pPr>
        <w:pStyle w:val="Textpoznpodarou"/>
        <w:ind w:left="284" w:hanging="284"/>
        <w:rPr>
          <w:rFonts w:cstheme="minorHAnsi"/>
        </w:rPr>
      </w:pPr>
      <w:r w:rsidRPr="009A6018">
        <w:rPr>
          <w:rStyle w:val="Znakapoznpodarou"/>
          <w:rFonts w:cstheme="minorHAnsi"/>
        </w:rPr>
        <w:footnoteRef/>
      </w:r>
      <w:r w:rsidRPr="009A6018">
        <w:rPr>
          <w:rFonts w:cstheme="minorHAnsi"/>
        </w:rPr>
        <w:t xml:space="preserve"> </w:t>
      </w:r>
      <w:r w:rsidR="000B6B07">
        <w:rPr>
          <w:rFonts w:cstheme="minorHAnsi"/>
        </w:rPr>
        <w:tab/>
      </w:r>
      <w:r w:rsidRPr="00BB4166">
        <w:rPr>
          <w:rFonts w:cstheme="minorHAnsi"/>
        </w:rPr>
        <w:t>Ust</w:t>
      </w:r>
      <w:r>
        <w:rPr>
          <w:rFonts w:cstheme="minorHAnsi"/>
        </w:rPr>
        <w:t>anovení</w:t>
      </w:r>
      <w:r w:rsidRPr="009A6018">
        <w:rPr>
          <w:rFonts w:cstheme="minorHAnsi"/>
        </w:rPr>
        <w:t xml:space="preserve"> § 14 odst. 1 písm. j) zákona č. 505/1990 Sb., o metrologii</w:t>
      </w:r>
      <w:r>
        <w:rPr>
          <w:rFonts w:cstheme="minorHAnsi"/>
        </w:rPr>
        <w:t>.</w:t>
      </w:r>
    </w:p>
  </w:footnote>
  <w:footnote w:id="21">
    <w:p w14:paraId="061DF3D0" w14:textId="48911475" w:rsidR="005E4AD6" w:rsidRDefault="005E4AD6" w:rsidP="005E4AD6">
      <w:pPr>
        <w:pStyle w:val="Textpoznpodarou"/>
        <w:ind w:left="284" w:hanging="284"/>
      </w:pPr>
      <w:r>
        <w:rPr>
          <w:rStyle w:val="Znakapoznpodarou"/>
        </w:rPr>
        <w:footnoteRef/>
      </w:r>
      <w:r>
        <w:t xml:space="preserve"> </w:t>
      </w:r>
      <w:r>
        <w:tab/>
      </w:r>
      <w:r w:rsidRPr="005E4AD6">
        <w:t>Ustanovení § 38c odst. 1 zák</w:t>
      </w:r>
      <w:r w:rsidR="00433F72">
        <w:t>ona</w:t>
      </w:r>
      <w:r w:rsidRPr="005E4AD6">
        <w:t xml:space="preserve"> č. 13/1997 Sb</w:t>
      </w:r>
      <w:r>
        <w:t>.</w:t>
      </w:r>
    </w:p>
  </w:footnote>
  <w:footnote w:id="22">
    <w:p w14:paraId="232D9087" w14:textId="420BFF3B" w:rsidR="008B7569" w:rsidRDefault="008B7569" w:rsidP="005E4AD6">
      <w:pPr>
        <w:pStyle w:val="Textpoznpodarou"/>
        <w:ind w:left="284" w:hanging="284"/>
        <w:jc w:val="both"/>
      </w:pPr>
      <w:r>
        <w:rPr>
          <w:rStyle w:val="Znakapoznpodarou"/>
        </w:rPr>
        <w:footnoteRef/>
      </w:r>
      <w:r>
        <w:t xml:space="preserve"> </w:t>
      </w:r>
      <w:r w:rsidR="000B6B07">
        <w:tab/>
      </w:r>
      <w:r>
        <w:t xml:space="preserve">Ustanovení § 2 písm. o) zákona č. 320/2001 Sb., </w:t>
      </w:r>
      <w:r w:rsidRPr="00D44E39">
        <w:t>o finanční kontrole ve veřejné správě a o změně některých zákonů</w:t>
      </w:r>
      <w:r>
        <w:t xml:space="preserve"> (zákon o finanční kontrole).</w:t>
      </w:r>
    </w:p>
  </w:footnote>
  <w:footnote w:id="23">
    <w:p w14:paraId="5AF102DC" w14:textId="00CA999C" w:rsidR="005E4AD6" w:rsidRDefault="005E4AD6" w:rsidP="005E4AD6">
      <w:pPr>
        <w:pStyle w:val="Textpoznpodarou"/>
        <w:ind w:left="284" w:hanging="284"/>
      </w:pPr>
      <w:r>
        <w:rPr>
          <w:rStyle w:val="Znakapoznpodarou"/>
        </w:rPr>
        <w:footnoteRef/>
      </w:r>
      <w:r>
        <w:t xml:space="preserve"> </w:t>
      </w:r>
      <w:r>
        <w:tab/>
        <w:t>Ustanovení § 2 písm. n) zákona č. 320/2001 Sb.</w:t>
      </w:r>
    </w:p>
  </w:footnote>
  <w:footnote w:id="24">
    <w:p w14:paraId="36F9AB4E" w14:textId="7773A59F" w:rsidR="008B7569" w:rsidRDefault="008B7569" w:rsidP="004459F3">
      <w:pPr>
        <w:pStyle w:val="Textpoznpodarou"/>
        <w:ind w:left="284" w:hanging="284"/>
        <w:jc w:val="both"/>
      </w:pPr>
      <w:r>
        <w:rPr>
          <w:rStyle w:val="Znakapoznpodarou"/>
        </w:rPr>
        <w:footnoteRef/>
      </w:r>
      <w:r>
        <w:t xml:space="preserve"> </w:t>
      </w:r>
      <w:r w:rsidR="000B6B07">
        <w:tab/>
      </w:r>
      <w:r>
        <w:t xml:space="preserve">Porovnání s úsporou nákladů na opravy a údržbu dopravní infrastruktury v důsledku omezení jízd přetížených vozidel nemohl </w:t>
      </w:r>
      <w:r w:rsidR="00382E8B">
        <w:t xml:space="preserve">NKÚ </w:t>
      </w:r>
      <w:r>
        <w:t>použít kvůli nedostupnosti potřebných údajů a informací.</w:t>
      </w:r>
    </w:p>
  </w:footnote>
  <w:footnote w:id="25">
    <w:p w14:paraId="5DA167FF" w14:textId="20C77F3F" w:rsidR="008B7569" w:rsidRDefault="008B7569" w:rsidP="004459F3">
      <w:pPr>
        <w:pStyle w:val="Textpoznpodarou"/>
        <w:ind w:left="284" w:hanging="284"/>
        <w:jc w:val="both"/>
      </w:pPr>
      <w:r>
        <w:rPr>
          <w:rStyle w:val="Znakapoznpodarou"/>
        </w:rPr>
        <w:footnoteRef/>
      </w:r>
      <w:r>
        <w:t xml:space="preserve"> </w:t>
      </w:r>
      <w:r w:rsidR="000B6B07">
        <w:tab/>
      </w:r>
      <w:r>
        <w:t xml:space="preserve">Ustanovení § 2 písm. o) zákona č. 320/2001 Sb., </w:t>
      </w:r>
      <w:r w:rsidRPr="00D44E39">
        <w:t>o finanční kontrole ve veřejné správě a o změně některých zákonů</w:t>
      </w:r>
      <w:r>
        <w:t xml:space="preserve"> (zákon o finanční kontrole).</w:t>
      </w:r>
    </w:p>
  </w:footnote>
  <w:footnote w:id="26">
    <w:p w14:paraId="260E3F92" w14:textId="20A20BC5" w:rsidR="008B7569" w:rsidRDefault="008B7569" w:rsidP="000B6B07">
      <w:pPr>
        <w:pStyle w:val="Textpoznpodarou"/>
        <w:ind w:left="284" w:hanging="284"/>
        <w:jc w:val="both"/>
      </w:pPr>
      <w:r>
        <w:rPr>
          <w:rStyle w:val="Znakapoznpodarou"/>
        </w:rPr>
        <w:footnoteRef/>
      </w:r>
      <w:r>
        <w:t xml:space="preserve"> </w:t>
      </w:r>
      <w:r w:rsidR="000B6B07">
        <w:tab/>
      </w:r>
      <w:r>
        <w:t>P</w:t>
      </w:r>
      <w:r w:rsidRPr="003F73D6">
        <w:rPr>
          <w:rFonts w:cstheme="minorHAnsi"/>
        </w:rPr>
        <w:t>rezentac</w:t>
      </w:r>
      <w:r>
        <w:rPr>
          <w:rFonts w:cstheme="minorHAnsi"/>
        </w:rPr>
        <w:t xml:space="preserve">e </w:t>
      </w:r>
      <w:r w:rsidRPr="003F73D6">
        <w:rPr>
          <w:rFonts w:cstheme="minorHAnsi"/>
        </w:rPr>
        <w:t xml:space="preserve">MD </w:t>
      </w:r>
      <w:r w:rsidRPr="004459F3">
        <w:rPr>
          <w:rFonts w:cstheme="minorHAnsi"/>
          <w:i/>
          <w:iCs/>
        </w:rPr>
        <w:t>Vliv silniční nákladní dopravy na stav komunikací a její dopady v území</w:t>
      </w:r>
      <w:r w:rsidRPr="003F73D6">
        <w:rPr>
          <w:rFonts w:cstheme="minorHAnsi"/>
        </w:rPr>
        <w:t xml:space="preserve"> pro veřejné slyšení </w:t>
      </w:r>
      <w:r w:rsidR="00271384" w:rsidRPr="003F73D6">
        <w:rPr>
          <w:rFonts w:cstheme="minorHAnsi"/>
        </w:rPr>
        <w:t xml:space="preserve">konané </w:t>
      </w:r>
      <w:r w:rsidR="00F070D5">
        <w:rPr>
          <w:rFonts w:cstheme="minorHAnsi"/>
        </w:rPr>
        <w:t xml:space="preserve">v </w:t>
      </w:r>
      <w:r w:rsidRPr="003F73D6">
        <w:rPr>
          <w:rFonts w:cstheme="minorHAnsi"/>
        </w:rPr>
        <w:t>Senátu Parlamentu ČR dne 3. 9. 2024</w:t>
      </w:r>
      <w:r>
        <w:rPr>
          <w:rFonts w:cstheme="minorHAnsi"/>
        </w:rPr>
        <w:t>.</w:t>
      </w:r>
    </w:p>
  </w:footnote>
  <w:footnote w:id="27">
    <w:p w14:paraId="6F0A2E79" w14:textId="01F37E06" w:rsidR="00160D58" w:rsidRDefault="00160D58" w:rsidP="00160D58">
      <w:pPr>
        <w:pStyle w:val="Textpoznpodarou"/>
        <w:ind w:left="284" w:hanging="284"/>
      </w:pPr>
      <w:r>
        <w:rPr>
          <w:rStyle w:val="Znakapoznpodarou"/>
        </w:rPr>
        <w:footnoteRef/>
      </w:r>
      <w:r>
        <w:t xml:space="preserve"> </w:t>
      </w:r>
      <w:r>
        <w:tab/>
      </w:r>
      <w:r w:rsidRPr="00160D58">
        <w:t xml:space="preserve">Dokument schválila vláda ČR usnesením ze dne 12. června 2013 č. 449, </w:t>
      </w:r>
      <w:r w:rsidRPr="004459F3">
        <w:rPr>
          <w:i/>
          <w:iCs/>
        </w:rPr>
        <w:t>k Dopravní politice České republiky pro období let 2014 až 2020 s výhledem do roku 2050</w:t>
      </w:r>
      <w:r>
        <w:t>.</w:t>
      </w:r>
    </w:p>
  </w:footnote>
  <w:footnote w:id="28">
    <w:p w14:paraId="3181C676" w14:textId="7CBED5FF" w:rsidR="00160D58" w:rsidRDefault="00160D58" w:rsidP="004459F3">
      <w:pPr>
        <w:pStyle w:val="Textpoznpodarou"/>
        <w:ind w:left="284" w:hanging="284"/>
        <w:jc w:val="both"/>
      </w:pPr>
      <w:r>
        <w:rPr>
          <w:rStyle w:val="Znakapoznpodarou"/>
        </w:rPr>
        <w:footnoteRef/>
      </w:r>
      <w:r>
        <w:t xml:space="preserve"> </w:t>
      </w:r>
      <w:r>
        <w:tab/>
      </w:r>
      <w:r>
        <w:rPr>
          <w:rFonts w:eastAsia="Times New Roman" w:cstheme="minorHAnsi"/>
        </w:rPr>
        <w:t xml:space="preserve">Oba dokumenty </w:t>
      </w:r>
      <w:r w:rsidRPr="00695ECD">
        <w:rPr>
          <w:rFonts w:eastAsia="Times New Roman" w:cstheme="minorHAnsi"/>
        </w:rPr>
        <w:t xml:space="preserve">schválila vláda ČR usnesením ze dne </w:t>
      </w:r>
      <w:r w:rsidRPr="008D18EF">
        <w:rPr>
          <w:rFonts w:eastAsia="Times New Roman" w:cstheme="minorHAnsi"/>
        </w:rPr>
        <w:t>15. dubna 2015 č. 268</w:t>
      </w:r>
      <w:r w:rsidRPr="00695ECD">
        <w:rPr>
          <w:rFonts w:eastAsia="Times New Roman" w:cstheme="minorHAnsi"/>
        </w:rPr>
        <w:t xml:space="preserve">, </w:t>
      </w:r>
      <w:r w:rsidRPr="004459F3">
        <w:rPr>
          <w:rFonts w:eastAsia="Times New Roman" w:cstheme="minorHAnsi"/>
          <w:i/>
          <w:iCs/>
        </w:rPr>
        <w:t>o Akčním plánu rozvoje inteligentních dopravních systémů (ITS) v ČR do roku 2020 (s výhledem do roku 2050)</w:t>
      </w:r>
      <w:r>
        <w:rPr>
          <w:rFonts w:eastAsia="Times New Roman" w:cstheme="minorHAnsi"/>
        </w:rPr>
        <w:t>.</w:t>
      </w:r>
    </w:p>
  </w:footnote>
  <w:footnote w:id="29">
    <w:p w14:paraId="15A03968" w14:textId="224BA4F8" w:rsidR="00160D58" w:rsidRDefault="00160D58" w:rsidP="004459F3">
      <w:pPr>
        <w:pStyle w:val="Textpoznpodarou"/>
        <w:ind w:left="284" w:hanging="284"/>
        <w:jc w:val="both"/>
      </w:pPr>
      <w:r>
        <w:rPr>
          <w:rStyle w:val="Znakapoznpodarou"/>
        </w:rPr>
        <w:footnoteRef/>
      </w:r>
      <w:r>
        <w:t xml:space="preserve"> </w:t>
      </w:r>
      <w:r>
        <w:tab/>
      </w:r>
      <w:r w:rsidRPr="00D56B6E">
        <w:rPr>
          <w:rFonts w:eastAsia="Times New Roman" w:cstheme="minorHAnsi"/>
        </w:rPr>
        <w:t>Vysokorychlostní váhu na dálnici D8</w:t>
      </w:r>
      <w:r>
        <w:rPr>
          <w:rFonts w:eastAsia="Times New Roman" w:cstheme="minorHAnsi"/>
        </w:rPr>
        <w:t xml:space="preserve"> (v km 5,0, ORP Brandýs nad Labem)</w:t>
      </w:r>
      <w:r w:rsidRPr="00D56B6E">
        <w:rPr>
          <w:rFonts w:eastAsia="Times New Roman" w:cstheme="minorHAnsi"/>
        </w:rPr>
        <w:t xml:space="preserve"> ŘSD uvedlo do zkušebního provozu již v</w:t>
      </w:r>
      <w:r w:rsidR="00EB299D">
        <w:rPr>
          <w:rFonts w:eastAsia="Times New Roman" w:cstheme="minorHAnsi"/>
        </w:rPr>
        <w:t xml:space="preserve"> </w:t>
      </w:r>
      <w:r w:rsidRPr="00D56B6E">
        <w:rPr>
          <w:rFonts w:eastAsia="Times New Roman" w:cstheme="minorHAnsi"/>
        </w:rPr>
        <w:t xml:space="preserve">roce 2009. </w:t>
      </w:r>
      <w:r>
        <w:t xml:space="preserve">Váha byla instalována </w:t>
      </w:r>
      <w:r w:rsidRPr="00F63FA4">
        <w:t xml:space="preserve">především pro testování technologie a </w:t>
      </w:r>
      <w:r w:rsidR="00EB299D">
        <w:t xml:space="preserve">pro </w:t>
      </w:r>
      <w:r w:rsidRPr="00F63FA4">
        <w:t>statistiku</w:t>
      </w:r>
      <w:r>
        <w:t xml:space="preserve">, popř. pro </w:t>
      </w:r>
      <w:r w:rsidRPr="003B2FCC">
        <w:t xml:space="preserve">předvýběr přetížených vozidel </w:t>
      </w:r>
      <w:r>
        <w:t>pro</w:t>
      </w:r>
      <w:r w:rsidRPr="003B2FCC">
        <w:t xml:space="preserve"> NKV</w:t>
      </w:r>
      <w:r w:rsidRPr="00F63FA4">
        <w:t>. Pro VKV s přímým postihem</w:t>
      </w:r>
      <w:r>
        <w:t xml:space="preserve"> </w:t>
      </w:r>
      <w:r w:rsidR="00EB299D">
        <w:t>nebyla</w:t>
      </w:r>
      <w:r w:rsidRPr="00F63FA4">
        <w:t xml:space="preserve"> </w:t>
      </w:r>
      <w:r>
        <w:t>t</w:t>
      </w:r>
      <w:r w:rsidR="00EB299D">
        <w:t>a</w:t>
      </w:r>
      <w:r>
        <w:t>to váh</w:t>
      </w:r>
      <w:r w:rsidR="00EB299D">
        <w:t>a</w:t>
      </w:r>
      <w:r>
        <w:t xml:space="preserve"> p</w:t>
      </w:r>
      <w:r w:rsidRPr="00F63FA4">
        <w:t>ouž</w:t>
      </w:r>
      <w:r>
        <w:t>ív</w:t>
      </w:r>
      <w:r w:rsidR="00EB299D">
        <w:t>ána</w:t>
      </w:r>
      <w:r>
        <w:t>.</w:t>
      </w:r>
    </w:p>
  </w:footnote>
  <w:footnote w:id="30">
    <w:p w14:paraId="11DE7FEE" w14:textId="6FCE67C5" w:rsidR="008B7569" w:rsidRDefault="008B7569" w:rsidP="004459F3">
      <w:pPr>
        <w:pStyle w:val="Textpoznpodarou"/>
        <w:ind w:left="284" w:hanging="284"/>
        <w:jc w:val="both"/>
      </w:pPr>
      <w:r>
        <w:rPr>
          <w:rStyle w:val="Znakapoznpodarou"/>
        </w:rPr>
        <w:footnoteRef/>
      </w:r>
      <w:r>
        <w:t xml:space="preserve"> </w:t>
      </w:r>
      <w:r w:rsidR="000B6B07">
        <w:tab/>
      </w:r>
      <w:r w:rsidRPr="00FE4A02">
        <w:rPr>
          <w:rFonts w:cstheme="minorHAnsi"/>
        </w:rPr>
        <w:t xml:space="preserve">Opatření obecné povahy číslo 0111-OOP-C010-15 účinné od 21. 10. 2016 </w:t>
      </w:r>
      <w:r>
        <w:rPr>
          <w:rFonts w:cstheme="minorHAnsi"/>
        </w:rPr>
        <w:t xml:space="preserve">zahrnující mj. váhy pro VKV </w:t>
      </w:r>
      <w:r w:rsidRPr="008374F4">
        <w:rPr>
          <w:rFonts w:cstheme="minorHAnsi"/>
        </w:rPr>
        <w:t>bylo s účinností k 28. 2. 2024 nahrazeno</w:t>
      </w:r>
      <w:r w:rsidRPr="00FE4A02">
        <w:rPr>
          <w:rFonts w:cstheme="minorHAnsi"/>
        </w:rPr>
        <w:t xml:space="preserve"> opatřením</w:t>
      </w:r>
      <w:r w:rsidRPr="00B36A49">
        <w:rPr>
          <w:rFonts w:cstheme="minorHAnsi"/>
        </w:rPr>
        <w:t xml:space="preserve"> obecné povahy číslo 0111-OOP-C010-24</w:t>
      </w:r>
      <w:r>
        <w:rPr>
          <w:rFonts w:cstheme="minorHAnsi"/>
        </w:rPr>
        <w:t>.</w:t>
      </w:r>
    </w:p>
  </w:footnote>
  <w:footnote w:id="31">
    <w:p w14:paraId="69C707D4" w14:textId="0800D7A0" w:rsidR="00160D58" w:rsidRDefault="00160D58" w:rsidP="00160D58">
      <w:pPr>
        <w:pStyle w:val="Textpoznpodarou"/>
        <w:ind w:left="284" w:hanging="284"/>
        <w:jc w:val="both"/>
      </w:pPr>
      <w:r>
        <w:rPr>
          <w:rStyle w:val="Znakapoznpodarou"/>
        </w:rPr>
        <w:footnoteRef/>
      </w:r>
      <w:r>
        <w:t xml:space="preserve"> </w:t>
      </w:r>
      <w:r>
        <w:tab/>
      </w:r>
      <w:r w:rsidRPr="00242191">
        <w:rPr>
          <w:rFonts w:cstheme="minorHAnsi"/>
        </w:rPr>
        <w:t xml:space="preserve">Změnu by měla přinést novela </w:t>
      </w:r>
      <w:r w:rsidR="009126B5">
        <w:rPr>
          <w:rFonts w:cstheme="minorHAnsi"/>
        </w:rPr>
        <w:t>s</w:t>
      </w:r>
      <w:r w:rsidRPr="00242191">
        <w:rPr>
          <w:rFonts w:cstheme="minorHAnsi"/>
        </w:rPr>
        <w:t>měrnice Evropského parlamentu a Rady (EU) 2015/413, o usnadnění přeshraniční výměny informací o dopravních deliktech v oblasti bezpečnosti silničního provozu</w:t>
      </w:r>
      <w:r w:rsidR="009126B5">
        <w:rPr>
          <w:rFonts w:cstheme="minorHAnsi"/>
        </w:rPr>
        <w:t>;</w:t>
      </w:r>
      <w:r>
        <w:rPr>
          <w:rFonts w:cstheme="minorHAnsi"/>
        </w:rPr>
        <w:t xml:space="preserve"> v době ukončení kontroly NKÚ </w:t>
      </w:r>
      <w:r w:rsidR="009126B5">
        <w:rPr>
          <w:rFonts w:cstheme="minorHAnsi"/>
        </w:rPr>
        <w:t xml:space="preserve">však novela </w:t>
      </w:r>
      <w:r>
        <w:rPr>
          <w:rFonts w:cstheme="minorHAnsi"/>
        </w:rPr>
        <w:t>ještě nebyla schválena</w:t>
      </w:r>
      <w:r w:rsidR="009126B5">
        <w:rPr>
          <w:rFonts w:cstheme="minorHAnsi"/>
        </w:rPr>
        <w:t>.</w:t>
      </w:r>
    </w:p>
  </w:footnote>
  <w:footnote w:id="32">
    <w:p w14:paraId="68C097E6" w14:textId="5AAB9148" w:rsidR="00160D58" w:rsidRDefault="00160D58" w:rsidP="00160D58">
      <w:pPr>
        <w:pStyle w:val="Textpoznpodarou"/>
        <w:ind w:left="284" w:hanging="284"/>
        <w:jc w:val="both"/>
      </w:pPr>
      <w:r>
        <w:rPr>
          <w:rStyle w:val="Znakapoznpodarou"/>
        </w:rPr>
        <w:footnoteRef/>
      </w:r>
      <w:r>
        <w:t xml:space="preserve"> </w:t>
      </w:r>
      <w:r>
        <w:tab/>
      </w:r>
      <w:r w:rsidRPr="00CE3152">
        <w:rPr>
          <w:rFonts w:cstheme="minorHAnsi"/>
        </w:rPr>
        <w:t>Spoluodpovědnost MD za peněžní prostředky, s nimiž hospodař</w:t>
      </w:r>
      <w:r w:rsidR="00003CFE">
        <w:rPr>
          <w:rFonts w:cstheme="minorHAnsi"/>
        </w:rPr>
        <w:t>í</w:t>
      </w:r>
      <w:r w:rsidRPr="00CE3152">
        <w:rPr>
          <w:rFonts w:cstheme="minorHAnsi"/>
        </w:rPr>
        <w:t xml:space="preserve"> SFDI</w:t>
      </w:r>
      <w:r>
        <w:rPr>
          <w:rFonts w:cstheme="minorHAnsi"/>
        </w:rPr>
        <w:t>,</w:t>
      </w:r>
      <w:r w:rsidRPr="00CE3152">
        <w:rPr>
          <w:rFonts w:cstheme="minorHAnsi"/>
        </w:rPr>
        <w:t xml:space="preserve"> vyplývá</w:t>
      </w:r>
      <w:r>
        <w:rPr>
          <w:rFonts w:cstheme="minorHAnsi"/>
        </w:rPr>
        <w:t xml:space="preserve"> </w:t>
      </w:r>
      <w:r w:rsidRPr="00CE3152">
        <w:rPr>
          <w:rFonts w:cstheme="minorHAnsi"/>
        </w:rPr>
        <w:t xml:space="preserve">mj. z ustanovení zákona </w:t>
      </w:r>
      <w:r>
        <w:rPr>
          <w:rFonts w:cstheme="minorHAnsi"/>
        </w:rPr>
        <w:br/>
      </w:r>
      <w:r w:rsidRPr="00CE3152">
        <w:rPr>
          <w:rFonts w:cstheme="minorHAnsi"/>
        </w:rPr>
        <w:t>č. 104/2000 Sb.</w:t>
      </w:r>
      <w:r>
        <w:rPr>
          <w:rFonts w:cstheme="minorHAnsi"/>
        </w:rPr>
        <w:t>, o Státním fondu dopravní infrastruktury,</w:t>
      </w:r>
      <w:r w:rsidRPr="00CE3152">
        <w:rPr>
          <w:rFonts w:cstheme="minorHAnsi"/>
        </w:rPr>
        <w:t xml:space="preserve"> týkajících se předkládání a schvalování rozpočtu SFDI. Podle § 5 odst. 1 zákona č. 104/2000 Sb. SFDI předkládá vládě </w:t>
      </w:r>
      <w:r>
        <w:rPr>
          <w:rFonts w:cstheme="minorHAnsi"/>
        </w:rPr>
        <w:t xml:space="preserve">České republiky </w:t>
      </w:r>
      <w:r w:rsidRPr="00CE3152">
        <w:rPr>
          <w:rFonts w:cstheme="minorHAnsi"/>
        </w:rPr>
        <w:t>návrh svého rozpočtu prostřednictvím ministra dopravy. Součástí tohoto návrhu je i střednědobý výhled, který podle § 5a odst. 1 zákona č. 104/2000 Sb. SFDI sestavuje ve spolupráci s MD. Podle § 5b odst. 1 zákona č. 104/2000 Sb. SFDI předkládá účetní závěrku a výroční zprávu o své činnosti k projednání vládě</w:t>
      </w:r>
      <w:r>
        <w:rPr>
          <w:rFonts w:cstheme="minorHAnsi"/>
        </w:rPr>
        <w:t xml:space="preserve"> České republiky</w:t>
      </w:r>
      <w:r w:rsidRPr="00CE3152">
        <w:rPr>
          <w:rFonts w:cstheme="minorHAnsi"/>
        </w:rPr>
        <w:t xml:space="preserve"> a ke schválení Poslanecké sněmovně Parlamentu ČR prostřednictvím ministra dopravy.</w:t>
      </w:r>
      <w:r>
        <w:rPr>
          <w:rFonts w:cstheme="minorHAnsi"/>
        </w:rPr>
        <w:t xml:space="preserve"> MD se rovněž významně podílí na zajištění rozpočtových zdrojů SFDI (dotace ze státního rozpočtu např. v roce 2023 představovaly téměř 70 % příjmů SFDI)</w:t>
      </w:r>
      <w:r w:rsidR="00003CFE">
        <w:rPr>
          <w:rFonts w:cstheme="minorHAnsi"/>
        </w:rPr>
        <w:t>.</w:t>
      </w:r>
    </w:p>
  </w:footnote>
  <w:footnote w:id="33">
    <w:p w14:paraId="486A0B2D" w14:textId="32972FF5" w:rsidR="008B7569" w:rsidRPr="00612CE6" w:rsidRDefault="008B7569" w:rsidP="004459F3">
      <w:pPr>
        <w:pStyle w:val="Styl1-Nzevmaterilu"/>
        <w:ind w:left="284" w:hanging="284"/>
        <w:jc w:val="both"/>
        <w:rPr>
          <w:rFonts w:asciiTheme="minorHAnsi" w:hAnsiTheme="minorHAnsi" w:cstheme="minorHAnsi"/>
          <w:sz w:val="20"/>
          <w:szCs w:val="20"/>
        </w:rPr>
      </w:pPr>
      <w:r w:rsidRPr="00612CE6">
        <w:rPr>
          <w:rStyle w:val="Znakapoznpodarou"/>
          <w:rFonts w:asciiTheme="minorHAnsi" w:hAnsiTheme="minorHAnsi" w:cstheme="minorHAnsi"/>
          <w:b w:val="0"/>
          <w:sz w:val="20"/>
          <w:szCs w:val="20"/>
        </w:rPr>
        <w:footnoteRef/>
      </w:r>
      <w:r w:rsidRPr="00612CE6">
        <w:rPr>
          <w:rFonts w:asciiTheme="minorHAnsi" w:hAnsiTheme="minorHAnsi" w:cstheme="minorHAnsi"/>
          <w:b w:val="0"/>
          <w:sz w:val="20"/>
          <w:szCs w:val="20"/>
        </w:rPr>
        <w:t xml:space="preserve"> </w:t>
      </w:r>
      <w:r w:rsidR="006326E3">
        <w:rPr>
          <w:rFonts w:asciiTheme="minorHAnsi" w:hAnsiTheme="minorHAnsi" w:cstheme="minorHAnsi"/>
          <w:b w:val="0"/>
          <w:sz w:val="20"/>
          <w:szCs w:val="20"/>
        </w:rPr>
        <w:tab/>
      </w:r>
      <w:r w:rsidRPr="00612CE6">
        <w:rPr>
          <w:rFonts w:asciiTheme="minorHAnsi" w:hAnsiTheme="minorHAnsi" w:cstheme="minorHAnsi"/>
          <w:b w:val="0"/>
          <w:sz w:val="20"/>
          <w:szCs w:val="20"/>
        </w:rPr>
        <w:t>Transforma</w:t>
      </w:r>
      <w:r>
        <w:rPr>
          <w:rFonts w:asciiTheme="minorHAnsi" w:hAnsiTheme="minorHAnsi" w:cstheme="minorHAnsi"/>
          <w:b w:val="0"/>
          <w:sz w:val="20"/>
          <w:szCs w:val="20"/>
        </w:rPr>
        <w:t>ce</w:t>
      </w:r>
      <w:r w:rsidRPr="00612CE6">
        <w:rPr>
          <w:rFonts w:asciiTheme="minorHAnsi" w:hAnsiTheme="minorHAnsi" w:cstheme="minorHAnsi"/>
          <w:b w:val="0"/>
          <w:sz w:val="20"/>
          <w:szCs w:val="20"/>
        </w:rPr>
        <w:t xml:space="preserve"> CSPSD na Inspekci silniční dopravy byla součástí návrhu novely zákona č. 111/1994 Sb., o silniční dopravě, který schválila vláda ČR usnesením ze dne 2. října 2024 č. 669, </w:t>
      </w:r>
      <w:r w:rsidRPr="004459F3">
        <w:rPr>
          <w:rFonts w:asciiTheme="minorHAnsi" w:hAnsiTheme="minorHAnsi" w:cstheme="minorHAnsi"/>
          <w:b w:val="0"/>
          <w:i/>
          <w:iCs/>
          <w:sz w:val="20"/>
          <w:szCs w:val="20"/>
        </w:rPr>
        <w:t>k návrhu zákona, kterým se mění zákon č. 111/1994 Sb., o silniční dopravě, ve znění pozdějších předpisů, a další související zákony</w:t>
      </w:r>
      <w:r w:rsidRPr="00612CE6">
        <w:rPr>
          <w:rFonts w:asciiTheme="minorHAnsi" w:hAnsiTheme="minorHAnsi" w:cstheme="minorHAnsi"/>
          <w:b w:val="0"/>
          <w:sz w:val="20"/>
          <w:szCs w:val="20"/>
        </w:rPr>
        <w:t>.</w:t>
      </w:r>
      <w:r>
        <w:rPr>
          <w:rFonts w:asciiTheme="minorHAnsi" w:hAnsiTheme="minorHAnsi" w:cstheme="minorHAnsi"/>
          <w:b w:val="0"/>
          <w:sz w:val="20"/>
          <w:szCs w:val="20"/>
        </w:rPr>
        <w:t xml:space="preserve"> Novela ale nebyla v době ukončení kontroly schválena Parlamentem České republiky.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220"/>
    <w:multiLevelType w:val="hybridMultilevel"/>
    <w:tmpl w:val="2ACADEC4"/>
    <w:lvl w:ilvl="0" w:tplc="C63A11CC">
      <w:start w:val="1"/>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F432D"/>
    <w:multiLevelType w:val="hybridMultilevel"/>
    <w:tmpl w:val="90AA3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B5013"/>
    <w:multiLevelType w:val="hybridMultilevel"/>
    <w:tmpl w:val="C48E232A"/>
    <w:lvl w:ilvl="0" w:tplc="F6D04CD6">
      <w:start w:val="1"/>
      <w:numFmt w:val="lowerLetter"/>
      <w:lvlText w:val="%1)"/>
      <w:lvlJc w:val="left"/>
      <w:pPr>
        <w:ind w:left="720" w:hanging="360"/>
      </w:pPr>
      <w:rPr>
        <w:rFonts w:hint="default"/>
      </w:rPr>
    </w:lvl>
    <w:lvl w:ilvl="1" w:tplc="30E6457A" w:tentative="1">
      <w:start w:val="1"/>
      <w:numFmt w:val="lowerLetter"/>
      <w:lvlText w:val="%2."/>
      <w:lvlJc w:val="left"/>
      <w:pPr>
        <w:ind w:left="1440" w:hanging="360"/>
      </w:pPr>
    </w:lvl>
    <w:lvl w:ilvl="2" w:tplc="C70EEDAA" w:tentative="1">
      <w:start w:val="1"/>
      <w:numFmt w:val="lowerRoman"/>
      <w:lvlText w:val="%3."/>
      <w:lvlJc w:val="right"/>
      <w:pPr>
        <w:ind w:left="2160" w:hanging="180"/>
      </w:pPr>
    </w:lvl>
    <w:lvl w:ilvl="3" w:tplc="22CC31EA" w:tentative="1">
      <w:start w:val="1"/>
      <w:numFmt w:val="decimal"/>
      <w:lvlText w:val="%4."/>
      <w:lvlJc w:val="left"/>
      <w:pPr>
        <w:ind w:left="2880" w:hanging="360"/>
      </w:pPr>
    </w:lvl>
    <w:lvl w:ilvl="4" w:tplc="4246ECB8" w:tentative="1">
      <w:start w:val="1"/>
      <w:numFmt w:val="lowerLetter"/>
      <w:lvlText w:val="%5."/>
      <w:lvlJc w:val="left"/>
      <w:pPr>
        <w:ind w:left="3600" w:hanging="360"/>
      </w:pPr>
    </w:lvl>
    <w:lvl w:ilvl="5" w:tplc="F11C6E70" w:tentative="1">
      <w:start w:val="1"/>
      <w:numFmt w:val="lowerRoman"/>
      <w:lvlText w:val="%6."/>
      <w:lvlJc w:val="right"/>
      <w:pPr>
        <w:ind w:left="4320" w:hanging="180"/>
      </w:pPr>
    </w:lvl>
    <w:lvl w:ilvl="6" w:tplc="5CE40B10" w:tentative="1">
      <w:start w:val="1"/>
      <w:numFmt w:val="decimal"/>
      <w:lvlText w:val="%7."/>
      <w:lvlJc w:val="left"/>
      <w:pPr>
        <w:ind w:left="5040" w:hanging="360"/>
      </w:pPr>
    </w:lvl>
    <w:lvl w:ilvl="7" w:tplc="DA64D520" w:tentative="1">
      <w:start w:val="1"/>
      <w:numFmt w:val="lowerLetter"/>
      <w:lvlText w:val="%8."/>
      <w:lvlJc w:val="left"/>
      <w:pPr>
        <w:ind w:left="5760" w:hanging="360"/>
      </w:pPr>
    </w:lvl>
    <w:lvl w:ilvl="8" w:tplc="DEACFFF4" w:tentative="1">
      <w:start w:val="1"/>
      <w:numFmt w:val="lowerRoman"/>
      <w:lvlText w:val="%9."/>
      <w:lvlJc w:val="right"/>
      <w:pPr>
        <w:ind w:left="6480" w:hanging="180"/>
      </w:pPr>
    </w:lvl>
  </w:abstractNum>
  <w:abstractNum w:abstractNumId="3" w15:restartNumberingAfterBreak="0">
    <w:nsid w:val="0272782A"/>
    <w:multiLevelType w:val="hybridMultilevel"/>
    <w:tmpl w:val="06CC2B56"/>
    <w:lvl w:ilvl="0" w:tplc="FAFE7064">
      <w:start w:val="1"/>
      <w:numFmt w:val="lowerLetter"/>
      <w:lvlText w:val="%1)"/>
      <w:lvlJc w:val="left"/>
      <w:pPr>
        <w:ind w:left="720" w:hanging="360"/>
      </w:pPr>
      <w:rPr>
        <w:rFonts w:hint="default"/>
      </w:rPr>
    </w:lvl>
    <w:lvl w:ilvl="1" w:tplc="1C8C8C4E" w:tentative="1">
      <w:start w:val="1"/>
      <w:numFmt w:val="lowerLetter"/>
      <w:lvlText w:val="%2."/>
      <w:lvlJc w:val="left"/>
      <w:pPr>
        <w:ind w:left="1440" w:hanging="360"/>
      </w:pPr>
    </w:lvl>
    <w:lvl w:ilvl="2" w:tplc="2B6E91D6" w:tentative="1">
      <w:start w:val="1"/>
      <w:numFmt w:val="lowerRoman"/>
      <w:lvlText w:val="%3."/>
      <w:lvlJc w:val="right"/>
      <w:pPr>
        <w:ind w:left="2160" w:hanging="180"/>
      </w:pPr>
    </w:lvl>
    <w:lvl w:ilvl="3" w:tplc="2EBC61EA" w:tentative="1">
      <w:start w:val="1"/>
      <w:numFmt w:val="decimal"/>
      <w:lvlText w:val="%4."/>
      <w:lvlJc w:val="left"/>
      <w:pPr>
        <w:ind w:left="2880" w:hanging="360"/>
      </w:pPr>
    </w:lvl>
    <w:lvl w:ilvl="4" w:tplc="EA6CCC9E" w:tentative="1">
      <w:start w:val="1"/>
      <w:numFmt w:val="lowerLetter"/>
      <w:lvlText w:val="%5."/>
      <w:lvlJc w:val="left"/>
      <w:pPr>
        <w:ind w:left="3600" w:hanging="360"/>
      </w:pPr>
    </w:lvl>
    <w:lvl w:ilvl="5" w:tplc="6EB8F34E" w:tentative="1">
      <w:start w:val="1"/>
      <w:numFmt w:val="lowerRoman"/>
      <w:lvlText w:val="%6."/>
      <w:lvlJc w:val="right"/>
      <w:pPr>
        <w:ind w:left="4320" w:hanging="180"/>
      </w:pPr>
    </w:lvl>
    <w:lvl w:ilvl="6" w:tplc="AD368610" w:tentative="1">
      <w:start w:val="1"/>
      <w:numFmt w:val="decimal"/>
      <w:lvlText w:val="%7."/>
      <w:lvlJc w:val="left"/>
      <w:pPr>
        <w:ind w:left="5040" w:hanging="360"/>
      </w:pPr>
    </w:lvl>
    <w:lvl w:ilvl="7" w:tplc="9B9A0A76" w:tentative="1">
      <w:start w:val="1"/>
      <w:numFmt w:val="lowerLetter"/>
      <w:lvlText w:val="%8."/>
      <w:lvlJc w:val="left"/>
      <w:pPr>
        <w:ind w:left="5760" w:hanging="360"/>
      </w:pPr>
    </w:lvl>
    <w:lvl w:ilvl="8" w:tplc="A7EA4652" w:tentative="1">
      <w:start w:val="1"/>
      <w:numFmt w:val="lowerRoman"/>
      <w:lvlText w:val="%9."/>
      <w:lvlJc w:val="right"/>
      <w:pPr>
        <w:ind w:left="6480" w:hanging="180"/>
      </w:pPr>
    </w:lvl>
  </w:abstractNum>
  <w:abstractNum w:abstractNumId="4" w15:restartNumberingAfterBreak="0">
    <w:nsid w:val="02FC25A0"/>
    <w:multiLevelType w:val="hybridMultilevel"/>
    <w:tmpl w:val="3ED253B2"/>
    <w:lvl w:ilvl="0" w:tplc="99FA96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BF6064"/>
    <w:multiLevelType w:val="hybridMultilevel"/>
    <w:tmpl w:val="CB5061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525906"/>
    <w:multiLevelType w:val="hybridMultilevel"/>
    <w:tmpl w:val="19F65060"/>
    <w:lvl w:ilvl="0" w:tplc="BA9CA15A">
      <w:numFmt w:val="bullet"/>
      <w:lvlText w:val="-"/>
      <w:lvlJc w:val="left"/>
      <w:pPr>
        <w:ind w:left="360" w:hanging="360"/>
      </w:pPr>
      <w:rPr>
        <w:rFonts w:ascii="Calibri" w:eastAsia="Times New Roman" w:hAnsi="Calibri" w:cs="Calibri" w:hint="default"/>
      </w:rPr>
    </w:lvl>
    <w:lvl w:ilvl="1" w:tplc="66DA3B10" w:tentative="1">
      <w:start w:val="1"/>
      <w:numFmt w:val="bullet"/>
      <w:lvlText w:val="o"/>
      <w:lvlJc w:val="left"/>
      <w:pPr>
        <w:ind w:left="2160" w:hanging="360"/>
      </w:pPr>
      <w:rPr>
        <w:rFonts w:ascii="Courier New" w:hAnsi="Courier New" w:cs="Courier New" w:hint="default"/>
      </w:rPr>
    </w:lvl>
    <w:lvl w:ilvl="2" w:tplc="369AFF3E" w:tentative="1">
      <w:start w:val="1"/>
      <w:numFmt w:val="bullet"/>
      <w:lvlText w:val=""/>
      <w:lvlJc w:val="left"/>
      <w:pPr>
        <w:ind w:left="2880" w:hanging="360"/>
      </w:pPr>
      <w:rPr>
        <w:rFonts w:ascii="Wingdings" w:hAnsi="Wingdings" w:hint="default"/>
      </w:rPr>
    </w:lvl>
    <w:lvl w:ilvl="3" w:tplc="AFA4B1AC" w:tentative="1">
      <w:start w:val="1"/>
      <w:numFmt w:val="bullet"/>
      <w:lvlText w:val=""/>
      <w:lvlJc w:val="left"/>
      <w:pPr>
        <w:ind w:left="3600" w:hanging="360"/>
      </w:pPr>
      <w:rPr>
        <w:rFonts w:ascii="Symbol" w:hAnsi="Symbol" w:hint="default"/>
      </w:rPr>
    </w:lvl>
    <w:lvl w:ilvl="4" w:tplc="C92AF0FA" w:tentative="1">
      <w:start w:val="1"/>
      <w:numFmt w:val="bullet"/>
      <w:lvlText w:val="o"/>
      <w:lvlJc w:val="left"/>
      <w:pPr>
        <w:ind w:left="4320" w:hanging="360"/>
      </w:pPr>
      <w:rPr>
        <w:rFonts w:ascii="Courier New" w:hAnsi="Courier New" w:cs="Courier New" w:hint="default"/>
      </w:rPr>
    </w:lvl>
    <w:lvl w:ilvl="5" w:tplc="303A83B8" w:tentative="1">
      <w:start w:val="1"/>
      <w:numFmt w:val="bullet"/>
      <w:lvlText w:val=""/>
      <w:lvlJc w:val="left"/>
      <w:pPr>
        <w:ind w:left="5040" w:hanging="360"/>
      </w:pPr>
      <w:rPr>
        <w:rFonts w:ascii="Wingdings" w:hAnsi="Wingdings" w:hint="default"/>
      </w:rPr>
    </w:lvl>
    <w:lvl w:ilvl="6" w:tplc="CF0A5AEA" w:tentative="1">
      <w:start w:val="1"/>
      <w:numFmt w:val="bullet"/>
      <w:lvlText w:val=""/>
      <w:lvlJc w:val="left"/>
      <w:pPr>
        <w:ind w:left="5760" w:hanging="360"/>
      </w:pPr>
      <w:rPr>
        <w:rFonts w:ascii="Symbol" w:hAnsi="Symbol" w:hint="default"/>
      </w:rPr>
    </w:lvl>
    <w:lvl w:ilvl="7" w:tplc="470ADBE2" w:tentative="1">
      <w:start w:val="1"/>
      <w:numFmt w:val="bullet"/>
      <w:lvlText w:val="o"/>
      <w:lvlJc w:val="left"/>
      <w:pPr>
        <w:ind w:left="6480" w:hanging="360"/>
      </w:pPr>
      <w:rPr>
        <w:rFonts w:ascii="Courier New" w:hAnsi="Courier New" w:cs="Courier New" w:hint="default"/>
      </w:rPr>
    </w:lvl>
    <w:lvl w:ilvl="8" w:tplc="FA321D48" w:tentative="1">
      <w:start w:val="1"/>
      <w:numFmt w:val="bullet"/>
      <w:lvlText w:val=""/>
      <w:lvlJc w:val="left"/>
      <w:pPr>
        <w:ind w:left="7200" w:hanging="360"/>
      </w:pPr>
      <w:rPr>
        <w:rFonts w:ascii="Wingdings" w:hAnsi="Wingdings" w:hint="default"/>
      </w:rPr>
    </w:lvl>
  </w:abstractNum>
  <w:abstractNum w:abstractNumId="7" w15:restartNumberingAfterBreak="0">
    <w:nsid w:val="0B740ED1"/>
    <w:multiLevelType w:val="hybridMultilevel"/>
    <w:tmpl w:val="307C4D36"/>
    <w:lvl w:ilvl="0" w:tplc="FA949B76">
      <w:start w:val="1"/>
      <w:numFmt w:val="lowerLetter"/>
      <w:lvlText w:val="%1)"/>
      <w:lvlJc w:val="left"/>
      <w:pPr>
        <w:ind w:left="360" w:hanging="360"/>
      </w:pPr>
      <w:rPr>
        <w:rFonts w:hint="default"/>
      </w:rPr>
    </w:lvl>
    <w:lvl w:ilvl="1" w:tplc="64546820" w:tentative="1">
      <w:start w:val="1"/>
      <w:numFmt w:val="lowerLetter"/>
      <w:lvlText w:val="%2."/>
      <w:lvlJc w:val="left"/>
      <w:pPr>
        <w:ind w:left="1440" w:hanging="360"/>
      </w:pPr>
    </w:lvl>
    <w:lvl w:ilvl="2" w:tplc="0A6AE0C6" w:tentative="1">
      <w:start w:val="1"/>
      <w:numFmt w:val="lowerRoman"/>
      <w:lvlText w:val="%3."/>
      <w:lvlJc w:val="right"/>
      <w:pPr>
        <w:ind w:left="2160" w:hanging="180"/>
      </w:pPr>
    </w:lvl>
    <w:lvl w:ilvl="3" w:tplc="8FBE1564" w:tentative="1">
      <w:start w:val="1"/>
      <w:numFmt w:val="decimal"/>
      <w:lvlText w:val="%4."/>
      <w:lvlJc w:val="left"/>
      <w:pPr>
        <w:ind w:left="2880" w:hanging="360"/>
      </w:pPr>
    </w:lvl>
    <w:lvl w:ilvl="4" w:tplc="10668182" w:tentative="1">
      <w:start w:val="1"/>
      <w:numFmt w:val="lowerLetter"/>
      <w:lvlText w:val="%5."/>
      <w:lvlJc w:val="left"/>
      <w:pPr>
        <w:ind w:left="3600" w:hanging="360"/>
      </w:pPr>
    </w:lvl>
    <w:lvl w:ilvl="5" w:tplc="E970F24C" w:tentative="1">
      <w:start w:val="1"/>
      <w:numFmt w:val="lowerRoman"/>
      <w:lvlText w:val="%6."/>
      <w:lvlJc w:val="right"/>
      <w:pPr>
        <w:ind w:left="4320" w:hanging="180"/>
      </w:pPr>
    </w:lvl>
    <w:lvl w:ilvl="6" w:tplc="F034C268" w:tentative="1">
      <w:start w:val="1"/>
      <w:numFmt w:val="decimal"/>
      <w:lvlText w:val="%7."/>
      <w:lvlJc w:val="left"/>
      <w:pPr>
        <w:ind w:left="5040" w:hanging="360"/>
      </w:pPr>
    </w:lvl>
    <w:lvl w:ilvl="7" w:tplc="A18E3BE6" w:tentative="1">
      <w:start w:val="1"/>
      <w:numFmt w:val="lowerLetter"/>
      <w:lvlText w:val="%8."/>
      <w:lvlJc w:val="left"/>
      <w:pPr>
        <w:ind w:left="5760" w:hanging="360"/>
      </w:pPr>
    </w:lvl>
    <w:lvl w:ilvl="8" w:tplc="6E7E6ED6" w:tentative="1">
      <w:start w:val="1"/>
      <w:numFmt w:val="lowerRoman"/>
      <w:lvlText w:val="%9."/>
      <w:lvlJc w:val="right"/>
      <w:pPr>
        <w:ind w:left="6480" w:hanging="180"/>
      </w:pPr>
    </w:lvl>
  </w:abstractNum>
  <w:abstractNum w:abstractNumId="8" w15:restartNumberingAfterBreak="0">
    <w:nsid w:val="18593546"/>
    <w:multiLevelType w:val="hybridMultilevel"/>
    <w:tmpl w:val="DE806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B042BE"/>
    <w:multiLevelType w:val="hybridMultilevel"/>
    <w:tmpl w:val="8C1ED2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7E1A8D"/>
    <w:multiLevelType w:val="hybridMultilevel"/>
    <w:tmpl w:val="AC0236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491A5E"/>
    <w:multiLevelType w:val="hybridMultilevel"/>
    <w:tmpl w:val="5B72A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9854C7"/>
    <w:multiLevelType w:val="hybridMultilevel"/>
    <w:tmpl w:val="9F4243CA"/>
    <w:lvl w:ilvl="0" w:tplc="B7A84AD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E921AE"/>
    <w:multiLevelType w:val="hybridMultilevel"/>
    <w:tmpl w:val="51B4CE62"/>
    <w:lvl w:ilvl="0" w:tplc="1B62D7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02211B"/>
    <w:multiLevelType w:val="hybridMultilevel"/>
    <w:tmpl w:val="3CA601AC"/>
    <w:lvl w:ilvl="0" w:tplc="6DD62B90">
      <w:start w:val="1"/>
      <w:numFmt w:val="decimal"/>
      <w:lvlText w:val="%1."/>
      <w:lvlJc w:val="left"/>
      <w:pPr>
        <w:ind w:left="720" w:hanging="360"/>
      </w:pPr>
      <w:rPr>
        <w:rFonts w:hint="default"/>
        <w:b/>
      </w:rPr>
    </w:lvl>
    <w:lvl w:ilvl="1" w:tplc="CC04608A" w:tentative="1">
      <w:start w:val="1"/>
      <w:numFmt w:val="lowerLetter"/>
      <w:lvlText w:val="%2."/>
      <w:lvlJc w:val="left"/>
      <w:pPr>
        <w:ind w:left="1440" w:hanging="360"/>
      </w:pPr>
    </w:lvl>
    <w:lvl w:ilvl="2" w:tplc="0E204E26" w:tentative="1">
      <w:start w:val="1"/>
      <w:numFmt w:val="lowerRoman"/>
      <w:lvlText w:val="%3."/>
      <w:lvlJc w:val="right"/>
      <w:pPr>
        <w:ind w:left="2160" w:hanging="180"/>
      </w:pPr>
    </w:lvl>
    <w:lvl w:ilvl="3" w:tplc="6816A0D2" w:tentative="1">
      <w:start w:val="1"/>
      <w:numFmt w:val="decimal"/>
      <w:lvlText w:val="%4."/>
      <w:lvlJc w:val="left"/>
      <w:pPr>
        <w:ind w:left="2880" w:hanging="360"/>
      </w:pPr>
    </w:lvl>
    <w:lvl w:ilvl="4" w:tplc="38E28E34" w:tentative="1">
      <w:start w:val="1"/>
      <w:numFmt w:val="lowerLetter"/>
      <w:lvlText w:val="%5."/>
      <w:lvlJc w:val="left"/>
      <w:pPr>
        <w:ind w:left="3600" w:hanging="360"/>
      </w:pPr>
    </w:lvl>
    <w:lvl w:ilvl="5" w:tplc="DE645CC4" w:tentative="1">
      <w:start w:val="1"/>
      <w:numFmt w:val="lowerRoman"/>
      <w:lvlText w:val="%6."/>
      <w:lvlJc w:val="right"/>
      <w:pPr>
        <w:ind w:left="4320" w:hanging="180"/>
      </w:pPr>
    </w:lvl>
    <w:lvl w:ilvl="6" w:tplc="32600612" w:tentative="1">
      <w:start w:val="1"/>
      <w:numFmt w:val="decimal"/>
      <w:lvlText w:val="%7."/>
      <w:lvlJc w:val="left"/>
      <w:pPr>
        <w:ind w:left="5040" w:hanging="360"/>
      </w:pPr>
    </w:lvl>
    <w:lvl w:ilvl="7" w:tplc="46BC0E66" w:tentative="1">
      <w:start w:val="1"/>
      <w:numFmt w:val="lowerLetter"/>
      <w:lvlText w:val="%8."/>
      <w:lvlJc w:val="left"/>
      <w:pPr>
        <w:ind w:left="5760" w:hanging="360"/>
      </w:pPr>
    </w:lvl>
    <w:lvl w:ilvl="8" w:tplc="A7A4A78A" w:tentative="1">
      <w:start w:val="1"/>
      <w:numFmt w:val="lowerRoman"/>
      <w:lvlText w:val="%9."/>
      <w:lvlJc w:val="right"/>
      <w:pPr>
        <w:ind w:left="6480" w:hanging="180"/>
      </w:pPr>
    </w:lvl>
  </w:abstractNum>
  <w:abstractNum w:abstractNumId="15" w15:restartNumberingAfterBreak="0">
    <w:nsid w:val="2BB46510"/>
    <w:multiLevelType w:val="hybridMultilevel"/>
    <w:tmpl w:val="A75AC748"/>
    <w:lvl w:ilvl="0" w:tplc="3C62E872">
      <w:start w:val="1"/>
      <w:numFmt w:val="bullet"/>
      <w:lvlText w:val="−"/>
      <w:lvlJc w:val="left"/>
      <w:pPr>
        <w:ind w:left="720" w:hanging="360"/>
      </w:pPr>
      <w:rPr>
        <w:rFonts w:ascii="Calibri" w:hAnsi="Calibri" w:hint="default"/>
      </w:rPr>
    </w:lvl>
    <w:lvl w:ilvl="1" w:tplc="DA162EEC" w:tentative="1">
      <w:start w:val="1"/>
      <w:numFmt w:val="bullet"/>
      <w:lvlText w:val="o"/>
      <w:lvlJc w:val="left"/>
      <w:pPr>
        <w:ind w:left="1440" w:hanging="360"/>
      </w:pPr>
      <w:rPr>
        <w:rFonts w:ascii="Courier New" w:hAnsi="Courier New" w:cs="Courier New" w:hint="default"/>
      </w:rPr>
    </w:lvl>
    <w:lvl w:ilvl="2" w:tplc="7E560C20" w:tentative="1">
      <w:start w:val="1"/>
      <w:numFmt w:val="bullet"/>
      <w:lvlText w:val=""/>
      <w:lvlJc w:val="left"/>
      <w:pPr>
        <w:ind w:left="2160" w:hanging="360"/>
      </w:pPr>
      <w:rPr>
        <w:rFonts w:ascii="Wingdings" w:hAnsi="Wingdings" w:hint="default"/>
      </w:rPr>
    </w:lvl>
    <w:lvl w:ilvl="3" w:tplc="90E2D20C" w:tentative="1">
      <w:start w:val="1"/>
      <w:numFmt w:val="bullet"/>
      <w:lvlText w:val=""/>
      <w:lvlJc w:val="left"/>
      <w:pPr>
        <w:ind w:left="2880" w:hanging="360"/>
      </w:pPr>
      <w:rPr>
        <w:rFonts w:ascii="Symbol" w:hAnsi="Symbol" w:hint="default"/>
      </w:rPr>
    </w:lvl>
    <w:lvl w:ilvl="4" w:tplc="8BB63A30" w:tentative="1">
      <w:start w:val="1"/>
      <w:numFmt w:val="bullet"/>
      <w:lvlText w:val="o"/>
      <w:lvlJc w:val="left"/>
      <w:pPr>
        <w:ind w:left="3600" w:hanging="360"/>
      </w:pPr>
      <w:rPr>
        <w:rFonts w:ascii="Courier New" w:hAnsi="Courier New" w:cs="Courier New" w:hint="default"/>
      </w:rPr>
    </w:lvl>
    <w:lvl w:ilvl="5" w:tplc="B600CF42" w:tentative="1">
      <w:start w:val="1"/>
      <w:numFmt w:val="bullet"/>
      <w:lvlText w:val=""/>
      <w:lvlJc w:val="left"/>
      <w:pPr>
        <w:ind w:left="4320" w:hanging="360"/>
      </w:pPr>
      <w:rPr>
        <w:rFonts w:ascii="Wingdings" w:hAnsi="Wingdings" w:hint="default"/>
      </w:rPr>
    </w:lvl>
    <w:lvl w:ilvl="6" w:tplc="B5C26CC2" w:tentative="1">
      <w:start w:val="1"/>
      <w:numFmt w:val="bullet"/>
      <w:lvlText w:val=""/>
      <w:lvlJc w:val="left"/>
      <w:pPr>
        <w:ind w:left="5040" w:hanging="360"/>
      </w:pPr>
      <w:rPr>
        <w:rFonts w:ascii="Symbol" w:hAnsi="Symbol" w:hint="default"/>
      </w:rPr>
    </w:lvl>
    <w:lvl w:ilvl="7" w:tplc="AC8059C0" w:tentative="1">
      <w:start w:val="1"/>
      <w:numFmt w:val="bullet"/>
      <w:lvlText w:val="o"/>
      <w:lvlJc w:val="left"/>
      <w:pPr>
        <w:ind w:left="5760" w:hanging="360"/>
      </w:pPr>
      <w:rPr>
        <w:rFonts w:ascii="Courier New" w:hAnsi="Courier New" w:cs="Courier New" w:hint="default"/>
      </w:rPr>
    </w:lvl>
    <w:lvl w:ilvl="8" w:tplc="7B281F3A" w:tentative="1">
      <w:start w:val="1"/>
      <w:numFmt w:val="bullet"/>
      <w:lvlText w:val=""/>
      <w:lvlJc w:val="left"/>
      <w:pPr>
        <w:ind w:left="6480" w:hanging="360"/>
      </w:pPr>
      <w:rPr>
        <w:rFonts w:ascii="Wingdings" w:hAnsi="Wingdings" w:hint="default"/>
      </w:rPr>
    </w:lvl>
  </w:abstractNum>
  <w:abstractNum w:abstractNumId="16" w15:restartNumberingAfterBreak="0">
    <w:nsid w:val="2CD070A4"/>
    <w:multiLevelType w:val="hybridMultilevel"/>
    <w:tmpl w:val="1E7CF606"/>
    <w:lvl w:ilvl="0" w:tplc="24149EF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E42B10"/>
    <w:multiLevelType w:val="hybridMultilevel"/>
    <w:tmpl w:val="A122113C"/>
    <w:lvl w:ilvl="0" w:tplc="D64EFD44">
      <w:numFmt w:val="bullet"/>
      <w:lvlText w:val="-"/>
      <w:lvlJc w:val="left"/>
      <w:pPr>
        <w:ind w:left="720" w:hanging="360"/>
      </w:pPr>
      <w:rPr>
        <w:rFonts w:ascii="Calibri" w:eastAsiaTheme="minorHAnsi" w:hAnsi="Calibri" w:cs="Calibri" w:hint="default"/>
      </w:rPr>
    </w:lvl>
    <w:lvl w:ilvl="1" w:tplc="D90C2AA6" w:tentative="1">
      <w:start w:val="1"/>
      <w:numFmt w:val="bullet"/>
      <w:lvlText w:val="o"/>
      <w:lvlJc w:val="left"/>
      <w:pPr>
        <w:ind w:left="1440" w:hanging="360"/>
      </w:pPr>
      <w:rPr>
        <w:rFonts w:ascii="Courier New" w:hAnsi="Courier New" w:cs="Courier New" w:hint="default"/>
      </w:rPr>
    </w:lvl>
    <w:lvl w:ilvl="2" w:tplc="6660C5B8" w:tentative="1">
      <w:start w:val="1"/>
      <w:numFmt w:val="bullet"/>
      <w:lvlText w:val=""/>
      <w:lvlJc w:val="left"/>
      <w:pPr>
        <w:ind w:left="2160" w:hanging="360"/>
      </w:pPr>
      <w:rPr>
        <w:rFonts w:ascii="Wingdings" w:hAnsi="Wingdings" w:hint="default"/>
      </w:rPr>
    </w:lvl>
    <w:lvl w:ilvl="3" w:tplc="9A82EF92" w:tentative="1">
      <w:start w:val="1"/>
      <w:numFmt w:val="bullet"/>
      <w:lvlText w:val=""/>
      <w:lvlJc w:val="left"/>
      <w:pPr>
        <w:ind w:left="2880" w:hanging="360"/>
      </w:pPr>
      <w:rPr>
        <w:rFonts w:ascii="Symbol" w:hAnsi="Symbol" w:hint="default"/>
      </w:rPr>
    </w:lvl>
    <w:lvl w:ilvl="4" w:tplc="3894CDE4" w:tentative="1">
      <w:start w:val="1"/>
      <w:numFmt w:val="bullet"/>
      <w:lvlText w:val="o"/>
      <w:lvlJc w:val="left"/>
      <w:pPr>
        <w:ind w:left="3600" w:hanging="360"/>
      </w:pPr>
      <w:rPr>
        <w:rFonts w:ascii="Courier New" w:hAnsi="Courier New" w:cs="Courier New" w:hint="default"/>
      </w:rPr>
    </w:lvl>
    <w:lvl w:ilvl="5" w:tplc="5D7836BC" w:tentative="1">
      <w:start w:val="1"/>
      <w:numFmt w:val="bullet"/>
      <w:lvlText w:val=""/>
      <w:lvlJc w:val="left"/>
      <w:pPr>
        <w:ind w:left="4320" w:hanging="360"/>
      </w:pPr>
      <w:rPr>
        <w:rFonts w:ascii="Wingdings" w:hAnsi="Wingdings" w:hint="default"/>
      </w:rPr>
    </w:lvl>
    <w:lvl w:ilvl="6" w:tplc="17BA9BF0" w:tentative="1">
      <w:start w:val="1"/>
      <w:numFmt w:val="bullet"/>
      <w:lvlText w:val=""/>
      <w:lvlJc w:val="left"/>
      <w:pPr>
        <w:ind w:left="5040" w:hanging="360"/>
      </w:pPr>
      <w:rPr>
        <w:rFonts w:ascii="Symbol" w:hAnsi="Symbol" w:hint="default"/>
      </w:rPr>
    </w:lvl>
    <w:lvl w:ilvl="7" w:tplc="D7C422D6" w:tentative="1">
      <w:start w:val="1"/>
      <w:numFmt w:val="bullet"/>
      <w:lvlText w:val="o"/>
      <w:lvlJc w:val="left"/>
      <w:pPr>
        <w:ind w:left="5760" w:hanging="360"/>
      </w:pPr>
      <w:rPr>
        <w:rFonts w:ascii="Courier New" w:hAnsi="Courier New" w:cs="Courier New" w:hint="default"/>
      </w:rPr>
    </w:lvl>
    <w:lvl w:ilvl="8" w:tplc="C6D67DEC" w:tentative="1">
      <w:start w:val="1"/>
      <w:numFmt w:val="bullet"/>
      <w:lvlText w:val=""/>
      <w:lvlJc w:val="left"/>
      <w:pPr>
        <w:ind w:left="6480" w:hanging="360"/>
      </w:pPr>
      <w:rPr>
        <w:rFonts w:ascii="Wingdings" w:hAnsi="Wingdings" w:hint="default"/>
      </w:rPr>
    </w:lvl>
  </w:abstractNum>
  <w:abstractNum w:abstractNumId="18" w15:restartNumberingAfterBreak="0">
    <w:nsid w:val="31275C6A"/>
    <w:multiLevelType w:val="hybridMultilevel"/>
    <w:tmpl w:val="42BA6F04"/>
    <w:lvl w:ilvl="0" w:tplc="99FA96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8004CD"/>
    <w:multiLevelType w:val="hybridMultilevel"/>
    <w:tmpl w:val="98383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9A01AC"/>
    <w:multiLevelType w:val="hybridMultilevel"/>
    <w:tmpl w:val="EAD6933A"/>
    <w:lvl w:ilvl="0" w:tplc="340655FE">
      <w:start w:val="1"/>
      <w:numFmt w:val="bullet"/>
      <w:lvlText w:val=""/>
      <w:lvlJc w:val="left"/>
      <w:pPr>
        <w:ind w:left="720" w:hanging="360"/>
      </w:pPr>
      <w:rPr>
        <w:rFonts w:ascii="Symbol" w:hAnsi="Symbol" w:hint="default"/>
      </w:rPr>
    </w:lvl>
    <w:lvl w:ilvl="1" w:tplc="68B42756" w:tentative="1">
      <w:start w:val="1"/>
      <w:numFmt w:val="bullet"/>
      <w:lvlText w:val="o"/>
      <w:lvlJc w:val="left"/>
      <w:pPr>
        <w:ind w:left="1440" w:hanging="360"/>
      </w:pPr>
      <w:rPr>
        <w:rFonts w:ascii="Courier New" w:hAnsi="Courier New" w:cs="Courier New" w:hint="default"/>
      </w:rPr>
    </w:lvl>
    <w:lvl w:ilvl="2" w:tplc="589271E8" w:tentative="1">
      <w:start w:val="1"/>
      <w:numFmt w:val="bullet"/>
      <w:lvlText w:val=""/>
      <w:lvlJc w:val="left"/>
      <w:pPr>
        <w:ind w:left="2160" w:hanging="360"/>
      </w:pPr>
      <w:rPr>
        <w:rFonts w:ascii="Wingdings" w:hAnsi="Wingdings" w:hint="default"/>
      </w:rPr>
    </w:lvl>
    <w:lvl w:ilvl="3" w:tplc="571AE94E" w:tentative="1">
      <w:start w:val="1"/>
      <w:numFmt w:val="bullet"/>
      <w:lvlText w:val=""/>
      <w:lvlJc w:val="left"/>
      <w:pPr>
        <w:ind w:left="2880" w:hanging="360"/>
      </w:pPr>
      <w:rPr>
        <w:rFonts w:ascii="Symbol" w:hAnsi="Symbol" w:hint="default"/>
      </w:rPr>
    </w:lvl>
    <w:lvl w:ilvl="4" w:tplc="F7F86846" w:tentative="1">
      <w:start w:val="1"/>
      <w:numFmt w:val="bullet"/>
      <w:lvlText w:val="o"/>
      <w:lvlJc w:val="left"/>
      <w:pPr>
        <w:ind w:left="3600" w:hanging="360"/>
      </w:pPr>
      <w:rPr>
        <w:rFonts w:ascii="Courier New" w:hAnsi="Courier New" w:cs="Courier New" w:hint="default"/>
      </w:rPr>
    </w:lvl>
    <w:lvl w:ilvl="5" w:tplc="D0167526" w:tentative="1">
      <w:start w:val="1"/>
      <w:numFmt w:val="bullet"/>
      <w:lvlText w:val=""/>
      <w:lvlJc w:val="left"/>
      <w:pPr>
        <w:ind w:left="4320" w:hanging="360"/>
      </w:pPr>
      <w:rPr>
        <w:rFonts w:ascii="Wingdings" w:hAnsi="Wingdings" w:hint="default"/>
      </w:rPr>
    </w:lvl>
    <w:lvl w:ilvl="6" w:tplc="9DA07ED4" w:tentative="1">
      <w:start w:val="1"/>
      <w:numFmt w:val="bullet"/>
      <w:lvlText w:val=""/>
      <w:lvlJc w:val="left"/>
      <w:pPr>
        <w:ind w:left="5040" w:hanging="360"/>
      </w:pPr>
      <w:rPr>
        <w:rFonts w:ascii="Symbol" w:hAnsi="Symbol" w:hint="default"/>
      </w:rPr>
    </w:lvl>
    <w:lvl w:ilvl="7" w:tplc="E9D4E770" w:tentative="1">
      <w:start w:val="1"/>
      <w:numFmt w:val="bullet"/>
      <w:lvlText w:val="o"/>
      <w:lvlJc w:val="left"/>
      <w:pPr>
        <w:ind w:left="5760" w:hanging="360"/>
      </w:pPr>
      <w:rPr>
        <w:rFonts w:ascii="Courier New" w:hAnsi="Courier New" w:cs="Courier New" w:hint="default"/>
      </w:rPr>
    </w:lvl>
    <w:lvl w:ilvl="8" w:tplc="3DEE5508" w:tentative="1">
      <w:start w:val="1"/>
      <w:numFmt w:val="bullet"/>
      <w:lvlText w:val=""/>
      <w:lvlJc w:val="left"/>
      <w:pPr>
        <w:ind w:left="6480" w:hanging="360"/>
      </w:pPr>
      <w:rPr>
        <w:rFonts w:ascii="Wingdings" w:hAnsi="Wingdings" w:hint="default"/>
      </w:rPr>
    </w:lvl>
  </w:abstractNum>
  <w:abstractNum w:abstractNumId="21" w15:restartNumberingAfterBreak="0">
    <w:nsid w:val="3C041B1D"/>
    <w:multiLevelType w:val="multilevel"/>
    <w:tmpl w:val="B372CCA0"/>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6C686B"/>
    <w:multiLevelType w:val="hybridMultilevel"/>
    <w:tmpl w:val="8FF2B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A4B0F"/>
    <w:multiLevelType w:val="hybridMultilevel"/>
    <w:tmpl w:val="8E6C620E"/>
    <w:lvl w:ilvl="0" w:tplc="C136CAC0">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B65F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3E5B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183B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A0D7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2C2F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84ED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8075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CAE1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C27EB3"/>
    <w:multiLevelType w:val="hybridMultilevel"/>
    <w:tmpl w:val="76C28AAC"/>
    <w:lvl w:ilvl="0" w:tplc="46AC8A6A">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804A9E"/>
    <w:multiLevelType w:val="hybridMultilevel"/>
    <w:tmpl w:val="8B06E194"/>
    <w:lvl w:ilvl="0" w:tplc="9CF88444">
      <w:start w:val="4"/>
      <w:numFmt w:val="bullet"/>
      <w:lvlText w:val=""/>
      <w:lvlJc w:val="left"/>
      <w:pPr>
        <w:ind w:left="360" w:hanging="360"/>
      </w:pPr>
      <w:rPr>
        <w:rFonts w:ascii="Wingdings" w:eastAsia="Calibri" w:hAnsi="Wingdings" w:cstheme="minorHAnsi" w:hint="default"/>
        <w:color w:val="0070C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FB7E6D"/>
    <w:multiLevelType w:val="hybridMultilevel"/>
    <w:tmpl w:val="F25AF338"/>
    <w:lvl w:ilvl="0" w:tplc="64CE9E7A">
      <w:start w:val="4"/>
      <w:numFmt w:val="bullet"/>
      <w:lvlText w:val="–"/>
      <w:lvlJc w:val="left"/>
      <w:pPr>
        <w:ind w:left="720" w:hanging="360"/>
      </w:pPr>
      <w:rPr>
        <w:rFonts w:ascii="Calibri" w:eastAsiaTheme="minorHAnsi" w:hAnsi="Calibri" w:cs="Calibri"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BB7BE0"/>
    <w:multiLevelType w:val="hybridMultilevel"/>
    <w:tmpl w:val="18A27DF8"/>
    <w:lvl w:ilvl="0" w:tplc="9DEE58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E7524">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08C34">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291E2">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6AFF6">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69614">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44112">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4956C">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4FB76">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9E0B8A"/>
    <w:multiLevelType w:val="hybridMultilevel"/>
    <w:tmpl w:val="76983F54"/>
    <w:lvl w:ilvl="0" w:tplc="6C8E1402">
      <w:start w:val="1"/>
      <w:numFmt w:val="lowerLetter"/>
      <w:lvlText w:val="%1)"/>
      <w:lvlJc w:val="left"/>
      <w:pPr>
        <w:ind w:left="720" w:hanging="360"/>
      </w:pPr>
      <w:rPr>
        <w:rFonts w:hint="default"/>
      </w:rPr>
    </w:lvl>
    <w:lvl w:ilvl="1" w:tplc="D0ECA2B6" w:tentative="1">
      <w:start w:val="1"/>
      <w:numFmt w:val="lowerLetter"/>
      <w:lvlText w:val="%2."/>
      <w:lvlJc w:val="left"/>
      <w:pPr>
        <w:ind w:left="1440" w:hanging="360"/>
      </w:pPr>
    </w:lvl>
    <w:lvl w:ilvl="2" w:tplc="9B16294A" w:tentative="1">
      <w:start w:val="1"/>
      <w:numFmt w:val="lowerRoman"/>
      <w:lvlText w:val="%3."/>
      <w:lvlJc w:val="right"/>
      <w:pPr>
        <w:ind w:left="2160" w:hanging="180"/>
      </w:pPr>
    </w:lvl>
    <w:lvl w:ilvl="3" w:tplc="7394946E" w:tentative="1">
      <w:start w:val="1"/>
      <w:numFmt w:val="decimal"/>
      <w:lvlText w:val="%4."/>
      <w:lvlJc w:val="left"/>
      <w:pPr>
        <w:ind w:left="2880" w:hanging="360"/>
      </w:pPr>
    </w:lvl>
    <w:lvl w:ilvl="4" w:tplc="E1F4E678" w:tentative="1">
      <w:start w:val="1"/>
      <w:numFmt w:val="lowerLetter"/>
      <w:lvlText w:val="%5."/>
      <w:lvlJc w:val="left"/>
      <w:pPr>
        <w:ind w:left="3600" w:hanging="360"/>
      </w:pPr>
    </w:lvl>
    <w:lvl w:ilvl="5" w:tplc="479A4724" w:tentative="1">
      <w:start w:val="1"/>
      <w:numFmt w:val="lowerRoman"/>
      <w:lvlText w:val="%6."/>
      <w:lvlJc w:val="right"/>
      <w:pPr>
        <w:ind w:left="4320" w:hanging="180"/>
      </w:pPr>
    </w:lvl>
    <w:lvl w:ilvl="6" w:tplc="B8646510" w:tentative="1">
      <w:start w:val="1"/>
      <w:numFmt w:val="decimal"/>
      <w:lvlText w:val="%7."/>
      <w:lvlJc w:val="left"/>
      <w:pPr>
        <w:ind w:left="5040" w:hanging="360"/>
      </w:pPr>
    </w:lvl>
    <w:lvl w:ilvl="7" w:tplc="9D7C0FE2" w:tentative="1">
      <w:start w:val="1"/>
      <w:numFmt w:val="lowerLetter"/>
      <w:lvlText w:val="%8."/>
      <w:lvlJc w:val="left"/>
      <w:pPr>
        <w:ind w:left="5760" w:hanging="360"/>
      </w:pPr>
    </w:lvl>
    <w:lvl w:ilvl="8" w:tplc="D06AF5C2" w:tentative="1">
      <w:start w:val="1"/>
      <w:numFmt w:val="lowerRoman"/>
      <w:lvlText w:val="%9."/>
      <w:lvlJc w:val="right"/>
      <w:pPr>
        <w:ind w:left="6480" w:hanging="180"/>
      </w:pPr>
    </w:lvl>
  </w:abstractNum>
  <w:abstractNum w:abstractNumId="29" w15:restartNumberingAfterBreak="0">
    <w:nsid w:val="5BC32017"/>
    <w:multiLevelType w:val="hybridMultilevel"/>
    <w:tmpl w:val="62B0873C"/>
    <w:lvl w:ilvl="0" w:tplc="D6AE507E">
      <w:start w:val="1"/>
      <w:numFmt w:val="bullet"/>
      <w:lvlText w:val="-"/>
      <w:lvlJc w:val="left"/>
      <w:pPr>
        <w:ind w:left="720" w:hanging="360"/>
      </w:pPr>
      <w:rPr>
        <w:rFonts w:ascii="Calibri" w:eastAsia="Times New Roman" w:hAnsi="Calibri" w:cs="Calibri" w:hint="default"/>
      </w:rPr>
    </w:lvl>
    <w:lvl w:ilvl="1" w:tplc="7BD65C96" w:tentative="1">
      <w:start w:val="1"/>
      <w:numFmt w:val="bullet"/>
      <w:lvlText w:val="o"/>
      <w:lvlJc w:val="left"/>
      <w:pPr>
        <w:ind w:left="1440" w:hanging="360"/>
      </w:pPr>
      <w:rPr>
        <w:rFonts w:ascii="Courier New" w:hAnsi="Courier New" w:cs="Courier New" w:hint="default"/>
      </w:rPr>
    </w:lvl>
    <w:lvl w:ilvl="2" w:tplc="46F8263A" w:tentative="1">
      <w:start w:val="1"/>
      <w:numFmt w:val="bullet"/>
      <w:lvlText w:val=""/>
      <w:lvlJc w:val="left"/>
      <w:pPr>
        <w:ind w:left="2160" w:hanging="360"/>
      </w:pPr>
      <w:rPr>
        <w:rFonts w:ascii="Wingdings" w:hAnsi="Wingdings" w:hint="default"/>
      </w:rPr>
    </w:lvl>
    <w:lvl w:ilvl="3" w:tplc="0854BC70" w:tentative="1">
      <w:start w:val="1"/>
      <w:numFmt w:val="bullet"/>
      <w:lvlText w:val=""/>
      <w:lvlJc w:val="left"/>
      <w:pPr>
        <w:ind w:left="2880" w:hanging="360"/>
      </w:pPr>
      <w:rPr>
        <w:rFonts w:ascii="Symbol" w:hAnsi="Symbol" w:hint="default"/>
      </w:rPr>
    </w:lvl>
    <w:lvl w:ilvl="4" w:tplc="931C1386" w:tentative="1">
      <w:start w:val="1"/>
      <w:numFmt w:val="bullet"/>
      <w:lvlText w:val="o"/>
      <w:lvlJc w:val="left"/>
      <w:pPr>
        <w:ind w:left="3600" w:hanging="360"/>
      </w:pPr>
      <w:rPr>
        <w:rFonts w:ascii="Courier New" w:hAnsi="Courier New" w:cs="Courier New" w:hint="default"/>
      </w:rPr>
    </w:lvl>
    <w:lvl w:ilvl="5" w:tplc="47F053E8" w:tentative="1">
      <w:start w:val="1"/>
      <w:numFmt w:val="bullet"/>
      <w:lvlText w:val=""/>
      <w:lvlJc w:val="left"/>
      <w:pPr>
        <w:ind w:left="4320" w:hanging="360"/>
      </w:pPr>
      <w:rPr>
        <w:rFonts w:ascii="Wingdings" w:hAnsi="Wingdings" w:hint="default"/>
      </w:rPr>
    </w:lvl>
    <w:lvl w:ilvl="6" w:tplc="78001E0E" w:tentative="1">
      <w:start w:val="1"/>
      <w:numFmt w:val="bullet"/>
      <w:lvlText w:val=""/>
      <w:lvlJc w:val="left"/>
      <w:pPr>
        <w:ind w:left="5040" w:hanging="360"/>
      </w:pPr>
      <w:rPr>
        <w:rFonts w:ascii="Symbol" w:hAnsi="Symbol" w:hint="default"/>
      </w:rPr>
    </w:lvl>
    <w:lvl w:ilvl="7" w:tplc="7E62F8D0" w:tentative="1">
      <w:start w:val="1"/>
      <w:numFmt w:val="bullet"/>
      <w:lvlText w:val="o"/>
      <w:lvlJc w:val="left"/>
      <w:pPr>
        <w:ind w:left="5760" w:hanging="360"/>
      </w:pPr>
      <w:rPr>
        <w:rFonts w:ascii="Courier New" w:hAnsi="Courier New" w:cs="Courier New" w:hint="default"/>
      </w:rPr>
    </w:lvl>
    <w:lvl w:ilvl="8" w:tplc="C88883C6" w:tentative="1">
      <w:start w:val="1"/>
      <w:numFmt w:val="bullet"/>
      <w:lvlText w:val=""/>
      <w:lvlJc w:val="left"/>
      <w:pPr>
        <w:ind w:left="6480" w:hanging="360"/>
      </w:pPr>
      <w:rPr>
        <w:rFonts w:ascii="Wingdings" w:hAnsi="Wingdings" w:hint="default"/>
      </w:rPr>
    </w:lvl>
  </w:abstractNum>
  <w:abstractNum w:abstractNumId="30" w15:restartNumberingAfterBreak="0">
    <w:nsid w:val="5D037460"/>
    <w:multiLevelType w:val="hybridMultilevel"/>
    <w:tmpl w:val="C226B094"/>
    <w:lvl w:ilvl="0" w:tplc="935CD644">
      <w:start w:val="1"/>
      <w:numFmt w:val="lowerLetter"/>
      <w:lvlText w:val="%1)"/>
      <w:lvlJc w:val="left"/>
      <w:pPr>
        <w:ind w:left="720" w:hanging="360"/>
      </w:pPr>
      <w:rPr>
        <w:rFonts w:hint="default"/>
      </w:rPr>
    </w:lvl>
    <w:lvl w:ilvl="1" w:tplc="6994EB08" w:tentative="1">
      <w:start w:val="1"/>
      <w:numFmt w:val="lowerLetter"/>
      <w:lvlText w:val="%2."/>
      <w:lvlJc w:val="left"/>
      <w:pPr>
        <w:ind w:left="1440" w:hanging="360"/>
      </w:pPr>
    </w:lvl>
    <w:lvl w:ilvl="2" w:tplc="4BCEB51E" w:tentative="1">
      <w:start w:val="1"/>
      <w:numFmt w:val="lowerRoman"/>
      <w:lvlText w:val="%3."/>
      <w:lvlJc w:val="right"/>
      <w:pPr>
        <w:ind w:left="2160" w:hanging="180"/>
      </w:pPr>
    </w:lvl>
    <w:lvl w:ilvl="3" w:tplc="D6B69C86" w:tentative="1">
      <w:start w:val="1"/>
      <w:numFmt w:val="decimal"/>
      <w:lvlText w:val="%4."/>
      <w:lvlJc w:val="left"/>
      <w:pPr>
        <w:ind w:left="2880" w:hanging="360"/>
      </w:pPr>
    </w:lvl>
    <w:lvl w:ilvl="4" w:tplc="6482610E" w:tentative="1">
      <w:start w:val="1"/>
      <w:numFmt w:val="lowerLetter"/>
      <w:lvlText w:val="%5."/>
      <w:lvlJc w:val="left"/>
      <w:pPr>
        <w:ind w:left="3600" w:hanging="360"/>
      </w:pPr>
    </w:lvl>
    <w:lvl w:ilvl="5" w:tplc="C1845E58" w:tentative="1">
      <w:start w:val="1"/>
      <w:numFmt w:val="lowerRoman"/>
      <w:lvlText w:val="%6."/>
      <w:lvlJc w:val="right"/>
      <w:pPr>
        <w:ind w:left="4320" w:hanging="180"/>
      </w:pPr>
    </w:lvl>
    <w:lvl w:ilvl="6" w:tplc="D556CE1C" w:tentative="1">
      <w:start w:val="1"/>
      <w:numFmt w:val="decimal"/>
      <w:lvlText w:val="%7."/>
      <w:lvlJc w:val="left"/>
      <w:pPr>
        <w:ind w:left="5040" w:hanging="360"/>
      </w:pPr>
    </w:lvl>
    <w:lvl w:ilvl="7" w:tplc="B894B7BC" w:tentative="1">
      <w:start w:val="1"/>
      <w:numFmt w:val="lowerLetter"/>
      <w:lvlText w:val="%8."/>
      <w:lvlJc w:val="left"/>
      <w:pPr>
        <w:ind w:left="5760" w:hanging="360"/>
      </w:pPr>
    </w:lvl>
    <w:lvl w:ilvl="8" w:tplc="4678FD2A" w:tentative="1">
      <w:start w:val="1"/>
      <w:numFmt w:val="lowerRoman"/>
      <w:lvlText w:val="%9."/>
      <w:lvlJc w:val="right"/>
      <w:pPr>
        <w:ind w:left="6480" w:hanging="180"/>
      </w:pPr>
    </w:lvl>
  </w:abstractNum>
  <w:abstractNum w:abstractNumId="31" w15:restartNumberingAfterBreak="0">
    <w:nsid w:val="5D665BC2"/>
    <w:multiLevelType w:val="hybridMultilevel"/>
    <w:tmpl w:val="4F96A79C"/>
    <w:lvl w:ilvl="0" w:tplc="D55A63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855B9D"/>
    <w:multiLevelType w:val="multilevel"/>
    <w:tmpl w:val="9B98C6D6"/>
    <w:lvl w:ilvl="0">
      <w:start w:val="1"/>
      <w:numFmt w:val="decimal"/>
      <w:lvlText w:val="%1"/>
      <w:lvlJc w:val="left"/>
      <w:pPr>
        <w:ind w:left="360" w:hanging="360"/>
      </w:pPr>
      <w:rPr>
        <w:rFonts w:eastAsiaTheme="minorHAnsi" w:cstheme="minorBidi" w:hint="default"/>
        <w:b w:val="0"/>
      </w:rPr>
    </w:lvl>
    <w:lvl w:ilvl="1">
      <w:start w:val="5"/>
      <w:numFmt w:val="decimal"/>
      <w:lvlText w:val="%1.%2"/>
      <w:lvlJc w:val="left"/>
      <w:pPr>
        <w:ind w:left="360" w:hanging="360"/>
      </w:pPr>
      <w:rPr>
        <w:rFonts w:eastAsiaTheme="minorHAnsi" w:cstheme="minorBidi" w:hint="default"/>
        <w:b w:val="0"/>
      </w:rPr>
    </w:lvl>
    <w:lvl w:ilvl="2">
      <w:start w:val="1"/>
      <w:numFmt w:val="decimal"/>
      <w:lvlText w:val="%1.%2.%3"/>
      <w:lvlJc w:val="left"/>
      <w:pPr>
        <w:ind w:left="720" w:hanging="720"/>
      </w:pPr>
      <w:rPr>
        <w:rFonts w:eastAsiaTheme="minorHAnsi" w:cstheme="minorBidi" w:hint="default"/>
        <w:b w:val="0"/>
      </w:rPr>
    </w:lvl>
    <w:lvl w:ilvl="3">
      <w:start w:val="1"/>
      <w:numFmt w:val="decimal"/>
      <w:lvlText w:val="%1.%2.%3.%4"/>
      <w:lvlJc w:val="left"/>
      <w:pPr>
        <w:ind w:left="720" w:hanging="720"/>
      </w:pPr>
      <w:rPr>
        <w:rFonts w:eastAsiaTheme="minorHAnsi" w:cstheme="minorBidi" w:hint="default"/>
        <w:b w:val="0"/>
      </w:rPr>
    </w:lvl>
    <w:lvl w:ilvl="4">
      <w:start w:val="1"/>
      <w:numFmt w:val="decimal"/>
      <w:lvlText w:val="%1.%2.%3.%4.%5"/>
      <w:lvlJc w:val="left"/>
      <w:pPr>
        <w:ind w:left="1080" w:hanging="108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440" w:hanging="1440"/>
      </w:pPr>
      <w:rPr>
        <w:rFonts w:eastAsiaTheme="minorHAnsi" w:cstheme="minorBidi" w:hint="default"/>
        <w:b w:val="0"/>
      </w:rPr>
    </w:lvl>
    <w:lvl w:ilvl="7">
      <w:start w:val="1"/>
      <w:numFmt w:val="decimal"/>
      <w:lvlText w:val="%1.%2.%3.%4.%5.%6.%7.%8"/>
      <w:lvlJc w:val="left"/>
      <w:pPr>
        <w:ind w:left="1440" w:hanging="1440"/>
      </w:pPr>
      <w:rPr>
        <w:rFonts w:eastAsiaTheme="minorHAnsi" w:cstheme="minorBidi" w:hint="default"/>
        <w:b w:val="0"/>
      </w:rPr>
    </w:lvl>
    <w:lvl w:ilvl="8">
      <w:start w:val="1"/>
      <w:numFmt w:val="decimal"/>
      <w:lvlText w:val="%1.%2.%3.%4.%5.%6.%7.%8.%9"/>
      <w:lvlJc w:val="left"/>
      <w:pPr>
        <w:ind w:left="1800" w:hanging="1800"/>
      </w:pPr>
      <w:rPr>
        <w:rFonts w:eastAsiaTheme="minorHAnsi" w:cstheme="minorBidi" w:hint="default"/>
        <w:b w:val="0"/>
      </w:rPr>
    </w:lvl>
  </w:abstractNum>
  <w:abstractNum w:abstractNumId="33" w15:restartNumberingAfterBreak="0">
    <w:nsid w:val="5F2B4E3F"/>
    <w:multiLevelType w:val="hybridMultilevel"/>
    <w:tmpl w:val="22ACAA94"/>
    <w:lvl w:ilvl="0" w:tplc="7332B40E">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F37872"/>
    <w:multiLevelType w:val="hybridMultilevel"/>
    <w:tmpl w:val="7A101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E33CF5"/>
    <w:multiLevelType w:val="hybridMultilevel"/>
    <w:tmpl w:val="C226B094"/>
    <w:lvl w:ilvl="0" w:tplc="513E23BA">
      <w:start w:val="1"/>
      <w:numFmt w:val="lowerLetter"/>
      <w:lvlText w:val="%1)"/>
      <w:lvlJc w:val="left"/>
      <w:pPr>
        <w:ind w:left="720" w:hanging="360"/>
      </w:pPr>
      <w:rPr>
        <w:rFonts w:hint="default"/>
      </w:rPr>
    </w:lvl>
    <w:lvl w:ilvl="1" w:tplc="E14E0D64" w:tentative="1">
      <w:start w:val="1"/>
      <w:numFmt w:val="lowerLetter"/>
      <w:lvlText w:val="%2."/>
      <w:lvlJc w:val="left"/>
      <w:pPr>
        <w:ind w:left="1440" w:hanging="360"/>
      </w:pPr>
    </w:lvl>
    <w:lvl w:ilvl="2" w:tplc="FEA82E02" w:tentative="1">
      <w:start w:val="1"/>
      <w:numFmt w:val="lowerRoman"/>
      <w:lvlText w:val="%3."/>
      <w:lvlJc w:val="right"/>
      <w:pPr>
        <w:ind w:left="2160" w:hanging="180"/>
      </w:pPr>
    </w:lvl>
    <w:lvl w:ilvl="3" w:tplc="81A6364C" w:tentative="1">
      <w:start w:val="1"/>
      <w:numFmt w:val="decimal"/>
      <w:lvlText w:val="%4."/>
      <w:lvlJc w:val="left"/>
      <w:pPr>
        <w:ind w:left="2880" w:hanging="360"/>
      </w:pPr>
    </w:lvl>
    <w:lvl w:ilvl="4" w:tplc="662E6018" w:tentative="1">
      <w:start w:val="1"/>
      <w:numFmt w:val="lowerLetter"/>
      <w:lvlText w:val="%5."/>
      <w:lvlJc w:val="left"/>
      <w:pPr>
        <w:ind w:left="3600" w:hanging="360"/>
      </w:pPr>
    </w:lvl>
    <w:lvl w:ilvl="5" w:tplc="CD6EAA20" w:tentative="1">
      <w:start w:val="1"/>
      <w:numFmt w:val="lowerRoman"/>
      <w:lvlText w:val="%6."/>
      <w:lvlJc w:val="right"/>
      <w:pPr>
        <w:ind w:left="4320" w:hanging="180"/>
      </w:pPr>
    </w:lvl>
    <w:lvl w:ilvl="6" w:tplc="27D444AA" w:tentative="1">
      <w:start w:val="1"/>
      <w:numFmt w:val="decimal"/>
      <w:lvlText w:val="%7."/>
      <w:lvlJc w:val="left"/>
      <w:pPr>
        <w:ind w:left="5040" w:hanging="360"/>
      </w:pPr>
    </w:lvl>
    <w:lvl w:ilvl="7" w:tplc="8A08FD1C" w:tentative="1">
      <w:start w:val="1"/>
      <w:numFmt w:val="lowerLetter"/>
      <w:lvlText w:val="%8."/>
      <w:lvlJc w:val="left"/>
      <w:pPr>
        <w:ind w:left="5760" w:hanging="360"/>
      </w:pPr>
    </w:lvl>
    <w:lvl w:ilvl="8" w:tplc="B78627AC" w:tentative="1">
      <w:start w:val="1"/>
      <w:numFmt w:val="lowerRoman"/>
      <w:lvlText w:val="%9."/>
      <w:lvlJc w:val="right"/>
      <w:pPr>
        <w:ind w:left="6480" w:hanging="180"/>
      </w:pPr>
    </w:lvl>
  </w:abstractNum>
  <w:abstractNum w:abstractNumId="36" w15:restartNumberingAfterBreak="0">
    <w:nsid w:val="6FF01674"/>
    <w:multiLevelType w:val="hybridMultilevel"/>
    <w:tmpl w:val="15FA77B0"/>
    <w:lvl w:ilvl="0" w:tplc="883E2138">
      <w:start w:val="1"/>
      <w:numFmt w:val="lowerLetter"/>
      <w:lvlText w:val="%1)"/>
      <w:lvlJc w:val="left"/>
      <w:pPr>
        <w:ind w:left="720" w:hanging="360"/>
      </w:pPr>
      <w:rPr>
        <w:rFonts w:hint="default"/>
      </w:rPr>
    </w:lvl>
    <w:lvl w:ilvl="1" w:tplc="AD9E1CB2" w:tentative="1">
      <w:start w:val="1"/>
      <w:numFmt w:val="lowerLetter"/>
      <w:lvlText w:val="%2."/>
      <w:lvlJc w:val="left"/>
      <w:pPr>
        <w:ind w:left="1440" w:hanging="360"/>
      </w:pPr>
    </w:lvl>
    <w:lvl w:ilvl="2" w:tplc="57943BD2" w:tentative="1">
      <w:start w:val="1"/>
      <w:numFmt w:val="lowerRoman"/>
      <w:lvlText w:val="%3."/>
      <w:lvlJc w:val="right"/>
      <w:pPr>
        <w:ind w:left="2160" w:hanging="180"/>
      </w:pPr>
    </w:lvl>
    <w:lvl w:ilvl="3" w:tplc="4AAC352C" w:tentative="1">
      <w:start w:val="1"/>
      <w:numFmt w:val="decimal"/>
      <w:lvlText w:val="%4."/>
      <w:lvlJc w:val="left"/>
      <w:pPr>
        <w:ind w:left="2880" w:hanging="360"/>
      </w:pPr>
    </w:lvl>
    <w:lvl w:ilvl="4" w:tplc="68EEEC80" w:tentative="1">
      <w:start w:val="1"/>
      <w:numFmt w:val="lowerLetter"/>
      <w:lvlText w:val="%5."/>
      <w:lvlJc w:val="left"/>
      <w:pPr>
        <w:ind w:left="3600" w:hanging="360"/>
      </w:pPr>
    </w:lvl>
    <w:lvl w:ilvl="5" w:tplc="8184488E" w:tentative="1">
      <w:start w:val="1"/>
      <w:numFmt w:val="lowerRoman"/>
      <w:lvlText w:val="%6."/>
      <w:lvlJc w:val="right"/>
      <w:pPr>
        <w:ind w:left="4320" w:hanging="180"/>
      </w:pPr>
    </w:lvl>
    <w:lvl w:ilvl="6" w:tplc="F670BC5E" w:tentative="1">
      <w:start w:val="1"/>
      <w:numFmt w:val="decimal"/>
      <w:lvlText w:val="%7."/>
      <w:lvlJc w:val="left"/>
      <w:pPr>
        <w:ind w:left="5040" w:hanging="360"/>
      </w:pPr>
    </w:lvl>
    <w:lvl w:ilvl="7" w:tplc="F4504794" w:tentative="1">
      <w:start w:val="1"/>
      <w:numFmt w:val="lowerLetter"/>
      <w:lvlText w:val="%8."/>
      <w:lvlJc w:val="left"/>
      <w:pPr>
        <w:ind w:left="5760" w:hanging="360"/>
      </w:pPr>
    </w:lvl>
    <w:lvl w:ilvl="8" w:tplc="8B525052" w:tentative="1">
      <w:start w:val="1"/>
      <w:numFmt w:val="lowerRoman"/>
      <w:lvlText w:val="%9."/>
      <w:lvlJc w:val="right"/>
      <w:pPr>
        <w:ind w:left="6480" w:hanging="180"/>
      </w:pPr>
    </w:lvl>
  </w:abstractNum>
  <w:abstractNum w:abstractNumId="37" w15:restartNumberingAfterBreak="0">
    <w:nsid w:val="72783784"/>
    <w:multiLevelType w:val="hybridMultilevel"/>
    <w:tmpl w:val="281AD382"/>
    <w:lvl w:ilvl="0" w:tplc="99FA960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9594534">
    <w:abstractNumId w:val="19"/>
  </w:num>
  <w:num w:numId="2" w16cid:durableId="813909528">
    <w:abstractNumId w:val="10"/>
  </w:num>
  <w:num w:numId="3" w16cid:durableId="1973444216">
    <w:abstractNumId w:val="36"/>
  </w:num>
  <w:num w:numId="4" w16cid:durableId="1668899430">
    <w:abstractNumId w:val="20"/>
  </w:num>
  <w:num w:numId="5" w16cid:durableId="1798063187">
    <w:abstractNumId w:val="3"/>
  </w:num>
  <w:num w:numId="6" w16cid:durableId="197397388">
    <w:abstractNumId w:val="4"/>
  </w:num>
  <w:num w:numId="7" w16cid:durableId="22830392">
    <w:abstractNumId w:val="6"/>
  </w:num>
  <w:num w:numId="8" w16cid:durableId="1403870649">
    <w:abstractNumId w:val="18"/>
  </w:num>
  <w:num w:numId="9" w16cid:durableId="1276982221">
    <w:abstractNumId w:val="1"/>
  </w:num>
  <w:num w:numId="10" w16cid:durableId="535898066">
    <w:abstractNumId w:val="5"/>
  </w:num>
  <w:num w:numId="11" w16cid:durableId="323433479">
    <w:abstractNumId w:val="37"/>
  </w:num>
  <w:num w:numId="12" w16cid:durableId="1907714802">
    <w:abstractNumId w:val="34"/>
  </w:num>
  <w:num w:numId="13" w16cid:durableId="604846857">
    <w:abstractNumId w:val="11"/>
  </w:num>
  <w:num w:numId="14" w16cid:durableId="955677789">
    <w:abstractNumId w:val="12"/>
  </w:num>
  <w:num w:numId="15" w16cid:durableId="1241410353">
    <w:abstractNumId w:val="9"/>
  </w:num>
  <w:num w:numId="16" w16cid:durableId="1468860394">
    <w:abstractNumId w:val="23"/>
  </w:num>
  <w:num w:numId="17" w16cid:durableId="1105343636">
    <w:abstractNumId w:val="27"/>
  </w:num>
  <w:num w:numId="18" w16cid:durableId="514272962">
    <w:abstractNumId w:val="15"/>
  </w:num>
  <w:num w:numId="19" w16cid:durableId="151725852">
    <w:abstractNumId w:val="14"/>
  </w:num>
  <w:num w:numId="20" w16cid:durableId="1344432854">
    <w:abstractNumId w:val="7"/>
  </w:num>
  <w:num w:numId="21" w16cid:durableId="1263104444">
    <w:abstractNumId w:val="30"/>
  </w:num>
  <w:num w:numId="22" w16cid:durableId="1447117609">
    <w:abstractNumId w:val="35"/>
  </w:num>
  <w:num w:numId="23" w16cid:durableId="166025786">
    <w:abstractNumId w:val="2"/>
  </w:num>
  <w:num w:numId="24" w16cid:durableId="472672427">
    <w:abstractNumId w:val="28"/>
  </w:num>
  <w:num w:numId="25" w16cid:durableId="1117063037">
    <w:abstractNumId w:val="31"/>
  </w:num>
  <w:num w:numId="26" w16cid:durableId="1479155232">
    <w:abstractNumId w:val="24"/>
  </w:num>
  <w:num w:numId="27" w16cid:durableId="223105594">
    <w:abstractNumId w:val="33"/>
  </w:num>
  <w:num w:numId="28" w16cid:durableId="298732384">
    <w:abstractNumId w:val="22"/>
  </w:num>
  <w:num w:numId="29" w16cid:durableId="49115721">
    <w:abstractNumId w:val="32"/>
  </w:num>
  <w:num w:numId="30" w16cid:durableId="1749959238">
    <w:abstractNumId w:val="13"/>
  </w:num>
  <w:num w:numId="31" w16cid:durableId="1702627304">
    <w:abstractNumId w:val="0"/>
  </w:num>
  <w:num w:numId="32" w16cid:durableId="247932477">
    <w:abstractNumId w:val="29"/>
  </w:num>
  <w:num w:numId="33" w16cid:durableId="226763544">
    <w:abstractNumId w:val="17"/>
  </w:num>
  <w:num w:numId="34" w16cid:durableId="553931751">
    <w:abstractNumId w:val="8"/>
  </w:num>
  <w:num w:numId="35" w16cid:durableId="651174501">
    <w:abstractNumId w:val="21"/>
  </w:num>
  <w:num w:numId="36" w16cid:durableId="908613891">
    <w:abstractNumId w:val="16"/>
  </w:num>
  <w:num w:numId="37" w16cid:durableId="1060716581">
    <w:abstractNumId w:val="25"/>
  </w:num>
  <w:num w:numId="38" w16cid:durableId="1476995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7E"/>
    <w:rsid w:val="000002C9"/>
    <w:rsid w:val="00001860"/>
    <w:rsid w:val="00002008"/>
    <w:rsid w:val="00002A85"/>
    <w:rsid w:val="00003490"/>
    <w:rsid w:val="00003CFE"/>
    <w:rsid w:val="00011530"/>
    <w:rsid w:val="00011682"/>
    <w:rsid w:val="00011E44"/>
    <w:rsid w:val="000128B9"/>
    <w:rsid w:val="00012B25"/>
    <w:rsid w:val="0001416E"/>
    <w:rsid w:val="00014188"/>
    <w:rsid w:val="00017356"/>
    <w:rsid w:val="00017E6A"/>
    <w:rsid w:val="000215B9"/>
    <w:rsid w:val="000224C4"/>
    <w:rsid w:val="0002302F"/>
    <w:rsid w:val="00024F34"/>
    <w:rsid w:val="00025B32"/>
    <w:rsid w:val="0002768C"/>
    <w:rsid w:val="0002797B"/>
    <w:rsid w:val="0003003F"/>
    <w:rsid w:val="000311AD"/>
    <w:rsid w:val="00032310"/>
    <w:rsid w:val="000324BC"/>
    <w:rsid w:val="000327E9"/>
    <w:rsid w:val="000338A9"/>
    <w:rsid w:val="00034829"/>
    <w:rsid w:val="00034E63"/>
    <w:rsid w:val="0004235C"/>
    <w:rsid w:val="00043515"/>
    <w:rsid w:val="00043B81"/>
    <w:rsid w:val="0004418D"/>
    <w:rsid w:val="00044CA5"/>
    <w:rsid w:val="00045827"/>
    <w:rsid w:val="00045DA4"/>
    <w:rsid w:val="00046384"/>
    <w:rsid w:val="00052107"/>
    <w:rsid w:val="00052C66"/>
    <w:rsid w:val="0005428A"/>
    <w:rsid w:val="00055D20"/>
    <w:rsid w:val="00055DBA"/>
    <w:rsid w:val="00057401"/>
    <w:rsid w:val="0005758B"/>
    <w:rsid w:val="00057C66"/>
    <w:rsid w:val="00057EB8"/>
    <w:rsid w:val="00057F29"/>
    <w:rsid w:val="00063399"/>
    <w:rsid w:val="000634DA"/>
    <w:rsid w:val="00065179"/>
    <w:rsid w:val="0006643A"/>
    <w:rsid w:val="000675CC"/>
    <w:rsid w:val="000728AA"/>
    <w:rsid w:val="000738CD"/>
    <w:rsid w:val="0007487C"/>
    <w:rsid w:val="00076A15"/>
    <w:rsid w:val="000774E2"/>
    <w:rsid w:val="0008238E"/>
    <w:rsid w:val="00082DBF"/>
    <w:rsid w:val="000851D4"/>
    <w:rsid w:val="00087D36"/>
    <w:rsid w:val="00091CA2"/>
    <w:rsid w:val="00091ECF"/>
    <w:rsid w:val="0009342B"/>
    <w:rsid w:val="00093C72"/>
    <w:rsid w:val="00094A9B"/>
    <w:rsid w:val="00095124"/>
    <w:rsid w:val="00096462"/>
    <w:rsid w:val="000A0FB5"/>
    <w:rsid w:val="000A105E"/>
    <w:rsid w:val="000A19D5"/>
    <w:rsid w:val="000A4C67"/>
    <w:rsid w:val="000A5122"/>
    <w:rsid w:val="000A55B2"/>
    <w:rsid w:val="000A5D6C"/>
    <w:rsid w:val="000A66DB"/>
    <w:rsid w:val="000A6A63"/>
    <w:rsid w:val="000A6C4A"/>
    <w:rsid w:val="000A71FB"/>
    <w:rsid w:val="000A75D2"/>
    <w:rsid w:val="000B065C"/>
    <w:rsid w:val="000B1486"/>
    <w:rsid w:val="000B19D7"/>
    <w:rsid w:val="000B1B19"/>
    <w:rsid w:val="000B2502"/>
    <w:rsid w:val="000B4B97"/>
    <w:rsid w:val="000B5A9B"/>
    <w:rsid w:val="000B5FE8"/>
    <w:rsid w:val="000B6060"/>
    <w:rsid w:val="000B6141"/>
    <w:rsid w:val="000B6351"/>
    <w:rsid w:val="000B6B07"/>
    <w:rsid w:val="000C07CE"/>
    <w:rsid w:val="000C0F6B"/>
    <w:rsid w:val="000C1921"/>
    <w:rsid w:val="000C33CD"/>
    <w:rsid w:val="000C3D24"/>
    <w:rsid w:val="000C43E5"/>
    <w:rsid w:val="000C55F1"/>
    <w:rsid w:val="000C6321"/>
    <w:rsid w:val="000C63D0"/>
    <w:rsid w:val="000C68A8"/>
    <w:rsid w:val="000D04F3"/>
    <w:rsid w:val="000D1195"/>
    <w:rsid w:val="000D2E0A"/>
    <w:rsid w:val="000D3E52"/>
    <w:rsid w:val="000D3F5C"/>
    <w:rsid w:val="000D60EC"/>
    <w:rsid w:val="000E2024"/>
    <w:rsid w:val="000E5B3D"/>
    <w:rsid w:val="000E6B40"/>
    <w:rsid w:val="000E6CE1"/>
    <w:rsid w:val="000E7E3E"/>
    <w:rsid w:val="000F3FF2"/>
    <w:rsid w:val="000F4650"/>
    <w:rsid w:val="000F4B0E"/>
    <w:rsid w:val="000F5643"/>
    <w:rsid w:val="000F67B9"/>
    <w:rsid w:val="00102CEE"/>
    <w:rsid w:val="00103785"/>
    <w:rsid w:val="0010454B"/>
    <w:rsid w:val="001045D6"/>
    <w:rsid w:val="0010600D"/>
    <w:rsid w:val="00106EDC"/>
    <w:rsid w:val="00112015"/>
    <w:rsid w:val="001123F3"/>
    <w:rsid w:val="001141E4"/>
    <w:rsid w:val="00116942"/>
    <w:rsid w:val="0011697A"/>
    <w:rsid w:val="00116F60"/>
    <w:rsid w:val="001172C4"/>
    <w:rsid w:val="00117A67"/>
    <w:rsid w:val="00117C3E"/>
    <w:rsid w:val="001209FF"/>
    <w:rsid w:val="001213A2"/>
    <w:rsid w:val="00121669"/>
    <w:rsid w:val="001226B9"/>
    <w:rsid w:val="00122F53"/>
    <w:rsid w:val="001236A5"/>
    <w:rsid w:val="0012659F"/>
    <w:rsid w:val="0012697E"/>
    <w:rsid w:val="00127232"/>
    <w:rsid w:val="00130F15"/>
    <w:rsid w:val="0013117B"/>
    <w:rsid w:val="001337EB"/>
    <w:rsid w:val="001351B5"/>
    <w:rsid w:val="0013545B"/>
    <w:rsid w:val="00136346"/>
    <w:rsid w:val="00136633"/>
    <w:rsid w:val="00136B00"/>
    <w:rsid w:val="00136B27"/>
    <w:rsid w:val="00136B3E"/>
    <w:rsid w:val="00143DE4"/>
    <w:rsid w:val="00143F0B"/>
    <w:rsid w:val="00144C1E"/>
    <w:rsid w:val="001455A8"/>
    <w:rsid w:val="00146614"/>
    <w:rsid w:val="00151119"/>
    <w:rsid w:val="00152BDF"/>
    <w:rsid w:val="00153202"/>
    <w:rsid w:val="00154878"/>
    <w:rsid w:val="00155B9C"/>
    <w:rsid w:val="001564DA"/>
    <w:rsid w:val="001569A0"/>
    <w:rsid w:val="0015730C"/>
    <w:rsid w:val="00160CCB"/>
    <w:rsid w:val="00160D58"/>
    <w:rsid w:val="001635CE"/>
    <w:rsid w:val="00164CA0"/>
    <w:rsid w:val="00166789"/>
    <w:rsid w:val="001737B2"/>
    <w:rsid w:val="001738D6"/>
    <w:rsid w:val="001752C7"/>
    <w:rsid w:val="001757F1"/>
    <w:rsid w:val="00175960"/>
    <w:rsid w:val="00176072"/>
    <w:rsid w:val="00181A61"/>
    <w:rsid w:val="00182351"/>
    <w:rsid w:val="00182736"/>
    <w:rsid w:val="00182B69"/>
    <w:rsid w:val="00185C63"/>
    <w:rsid w:val="001862BE"/>
    <w:rsid w:val="001864D5"/>
    <w:rsid w:val="00190671"/>
    <w:rsid w:val="00191788"/>
    <w:rsid w:val="00191F0F"/>
    <w:rsid w:val="00191FA0"/>
    <w:rsid w:val="00192625"/>
    <w:rsid w:val="00192EF8"/>
    <w:rsid w:val="00193E26"/>
    <w:rsid w:val="001A05B8"/>
    <w:rsid w:val="001A0BED"/>
    <w:rsid w:val="001A0DE5"/>
    <w:rsid w:val="001A0DFF"/>
    <w:rsid w:val="001A1CBC"/>
    <w:rsid w:val="001A2BBC"/>
    <w:rsid w:val="001A2E73"/>
    <w:rsid w:val="001A328E"/>
    <w:rsid w:val="001A3CBD"/>
    <w:rsid w:val="001A519E"/>
    <w:rsid w:val="001A5850"/>
    <w:rsid w:val="001B2EFB"/>
    <w:rsid w:val="001B319E"/>
    <w:rsid w:val="001B4C36"/>
    <w:rsid w:val="001B52CA"/>
    <w:rsid w:val="001B7410"/>
    <w:rsid w:val="001C0629"/>
    <w:rsid w:val="001C104D"/>
    <w:rsid w:val="001C1900"/>
    <w:rsid w:val="001C1D49"/>
    <w:rsid w:val="001C1EAA"/>
    <w:rsid w:val="001C58E1"/>
    <w:rsid w:val="001C6E08"/>
    <w:rsid w:val="001D061D"/>
    <w:rsid w:val="001D0D77"/>
    <w:rsid w:val="001D0DDE"/>
    <w:rsid w:val="001D1902"/>
    <w:rsid w:val="001D19C7"/>
    <w:rsid w:val="001D23BA"/>
    <w:rsid w:val="001D2B6D"/>
    <w:rsid w:val="001D3CB9"/>
    <w:rsid w:val="001D43F1"/>
    <w:rsid w:val="001D5C36"/>
    <w:rsid w:val="001D5E28"/>
    <w:rsid w:val="001D5E5E"/>
    <w:rsid w:val="001D6C37"/>
    <w:rsid w:val="001D7CFF"/>
    <w:rsid w:val="001E033F"/>
    <w:rsid w:val="001E24E6"/>
    <w:rsid w:val="001E2B84"/>
    <w:rsid w:val="001E2CC2"/>
    <w:rsid w:val="001E6071"/>
    <w:rsid w:val="001E6937"/>
    <w:rsid w:val="001E78A5"/>
    <w:rsid w:val="001F06A5"/>
    <w:rsid w:val="001F1644"/>
    <w:rsid w:val="001F5620"/>
    <w:rsid w:val="001F5E6B"/>
    <w:rsid w:val="001F610F"/>
    <w:rsid w:val="001F7112"/>
    <w:rsid w:val="001F715C"/>
    <w:rsid w:val="001F7B07"/>
    <w:rsid w:val="001F7C18"/>
    <w:rsid w:val="002025E9"/>
    <w:rsid w:val="0020304D"/>
    <w:rsid w:val="0020360D"/>
    <w:rsid w:val="00203EF6"/>
    <w:rsid w:val="0020464A"/>
    <w:rsid w:val="002050DC"/>
    <w:rsid w:val="00206674"/>
    <w:rsid w:val="00206FD8"/>
    <w:rsid w:val="00211554"/>
    <w:rsid w:val="002141B0"/>
    <w:rsid w:val="00214F75"/>
    <w:rsid w:val="002151E9"/>
    <w:rsid w:val="002153BD"/>
    <w:rsid w:val="002160B3"/>
    <w:rsid w:val="00216174"/>
    <w:rsid w:val="00216459"/>
    <w:rsid w:val="00216774"/>
    <w:rsid w:val="00217F8A"/>
    <w:rsid w:val="0022029E"/>
    <w:rsid w:val="00220A24"/>
    <w:rsid w:val="00222588"/>
    <w:rsid w:val="00223D28"/>
    <w:rsid w:val="00224E48"/>
    <w:rsid w:val="00231397"/>
    <w:rsid w:val="00232B41"/>
    <w:rsid w:val="00233478"/>
    <w:rsid w:val="00233AED"/>
    <w:rsid w:val="002340C0"/>
    <w:rsid w:val="00235524"/>
    <w:rsid w:val="00237A6A"/>
    <w:rsid w:val="002408FC"/>
    <w:rsid w:val="00240FFF"/>
    <w:rsid w:val="002419F0"/>
    <w:rsid w:val="00242137"/>
    <w:rsid w:val="00242191"/>
    <w:rsid w:val="0024327A"/>
    <w:rsid w:val="0024482B"/>
    <w:rsid w:val="0024542B"/>
    <w:rsid w:val="00245A45"/>
    <w:rsid w:val="00245EC1"/>
    <w:rsid w:val="002468EC"/>
    <w:rsid w:val="00246C29"/>
    <w:rsid w:val="00246F31"/>
    <w:rsid w:val="00250C2D"/>
    <w:rsid w:val="00253442"/>
    <w:rsid w:val="00253A42"/>
    <w:rsid w:val="00254B81"/>
    <w:rsid w:val="002607A7"/>
    <w:rsid w:val="00262B52"/>
    <w:rsid w:val="00263065"/>
    <w:rsid w:val="00263725"/>
    <w:rsid w:val="002640AB"/>
    <w:rsid w:val="0026413C"/>
    <w:rsid w:val="00270E69"/>
    <w:rsid w:val="00270F00"/>
    <w:rsid w:val="00271384"/>
    <w:rsid w:val="00272AE3"/>
    <w:rsid w:val="0027512D"/>
    <w:rsid w:val="002774F5"/>
    <w:rsid w:val="00280011"/>
    <w:rsid w:val="0028088D"/>
    <w:rsid w:val="00280A9B"/>
    <w:rsid w:val="0028355A"/>
    <w:rsid w:val="00284EE8"/>
    <w:rsid w:val="00290B4B"/>
    <w:rsid w:val="00290EDD"/>
    <w:rsid w:val="0029174C"/>
    <w:rsid w:val="00293872"/>
    <w:rsid w:val="00294342"/>
    <w:rsid w:val="002946FB"/>
    <w:rsid w:val="002975D5"/>
    <w:rsid w:val="002977A2"/>
    <w:rsid w:val="002A13F1"/>
    <w:rsid w:val="002A2668"/>
    <w:rsid w:val="002A2E98"/>
    <w:rsid w:val="002A3866"/>
    <w:rsid w:val="002A63BD"/>
    <w:rsid w:val="002A6D08"/>
    <w:rsid w:val="002A75B4"/>
    <w:rsid w:val="002B00AC"/>
    <w:rsid w:val="002B06D8"/>
    <w:rsid w:val="002B12AF"/>
    <w:rsid w:val="002B2D13"/>
    <w:rsid w:val="002B37CE"/>
    <w:rsid w:val="002B3B09"/>
    <w:rsid w:val="002B46C6"/>
    <w:rsid w:val="002B5068"/>
    <w:rsid w:val="002B60F6"/>
    <w:rsid w:val="002B63FF"/>
    <w:rsid w:val="002B744B"/>
    <w:rsid w:val="002B77F3"/>
    <w:rsid w:val="002B7832"/>
    <w:rsid w:val="002C0E99"/>
    <w:rsid w:val="002C18EE"/>
    <w:rsid w:val="002C1AB2"/>
    <w:rsid w:val="002C27F9"/>
    <w:rsid w:val="002C4064"/>
    <w:rsid w:val="002C4336"/>
    <w:rsid w:val="002C4E3B"/>
    <w:rsid w:val="002C5989"/>
    <w:rsid w:val="002D0C7C"/>
    <w:rsid w:val="002D0CAC"/>
    <w:rsid w:val="002D0E6C"/>
    <w:rsid w:val="002D1B2B"/>
    <w:rsid w:val="002D2152"/>
    <w:rsid w:val="002D365A"/>
    <w:rsid w:val="002D5FB0"/>
    <w:rsid w:val="002D6A47"/>
    <w:rsid w:val="002D6CAF"/>
    <w:rsid w:val="002D7720"/>
    <w:rsid w:val="002E140C"/>
    <w:rsid w:val="002E6A70"/>
    <w:rsid w:val="002F0FE5"/>
    <w:rsid w:val="002F35D4"/>
    <w:rsid w:val="002F5290"/>
    <w:rsid w:val="002F5CEC"/>
    <w:rsid w:val="002F6F21"/>
    <w:rsid w:val="002F7F7F"/>
    <w:rsid w:val="0030176A"/>
    <w:rsid w:val="00302957"/>
    <w:rsid w:val="003032FE"/>
    <w:rsid w:val="00304F81"/>
    <w:rsid w:val="00305741"/>
    <w:rsid w:val="00306E9C"/>
    <w:rsid w:val="003076B4"/>
    <w:rsid w:val="00310EB2"/>
    <w:rsid w:val="00312C05"/>
    <w:rsid w:val="00314277"/>
    <w:rsid w:val="00314714"/>
    <w:rsid w:val="00314CF0"/>
    <w:rsid w:val="00315EA0"/>
    <w:rsid w:val="00316ECA"/>
    <w:rsid w:val="00321638"/>
    <w:rsid w:val="003255AA"/>
    <w:rsid w:val="00325F12"/>
    <w:rsid w:val="00327334"/>
    <w:rsid w:val="0033152B"/>
    <w:rsid w:val="00331598"/>
    <w:rsid w:val="00333CD0"/>
    <w:rsid w:val="003344FE"/>
    <w:rsid w:val="00334D8C"/>
    <w:rsid w:val="003375F4"/>
    <w:rsid w:val="00337E90"/>
    <w:rsid w:val="00345133"/>
    <w:rsid w:val="003456CB"/>
    <w:rsid w:val="00347B65"/>
    <w:rsid w:val="003500C0"/>
    <w:rsid w:val="0035026A"/>
    <w:rsid w:val="00353B6B"/>
    <w:rsid w:val="00355A66"/>
    <w:rsid w:val="00355D17"/>
    <w:rsid w:val="00355DA4"/>
    <w:rsid w:val="00356D81"/>
    <w:rsid w:val="003603AC"/>
    <w:rsid w:val="0036123D"/>
    <w:rsid w:val="003625C7"/>
    <w:rsid w:val="003631EC"/>
    <w:rsid w:val="00364679"/>
    <w:rsid w:val="00365C07"/>
    <w:rsid w:val="00365FEB"/>
    <w:rsid w:val="003735AD"/>
    <w:rsid w:val="00373A81"/>
    <w:rsid w:val="00373E96"/>
    <w:rsid w:val="00374B9F"/>
    <w:rsid w:val="00376932"/>
    <w:rsid w:val="0037706A"/>
    <w:rsid w:val="00380B5E"/>
    <w:rsid w:val="00381FD3"/>
    <w:rsid w:val="003821B0"/>
    <w:rsid w:val="00382E8B"/>
    <w:rsid w:val="00382EC4"/>
    <w:rsid w:val="00383194"/>
    <w:rsid w:val="0038430A"/>
    <w:rsid w:val="003848F5"/>
    <w:rsid w:val="00385FAE"/>
    <w:rsid w:val="003872FF"/>
    <w:rsid w:val="00387396"/>
    <w:rsid w:val="00390416"/>
    <w:rsid w:val="003905AF"/>
    <w:rsid w:val="00391EF3"/>
    <w:rsid w:val="003928FF"/>
    <w:rsid w:val="003934C7"/>
    <w:rsid w:val="003954B1"/>
    <w:rsid w:val="00396B79"/>
    <w:rsid w:val="00396F81"/>
    <w:rsid w:val="00397CCC"/>
    <w:rsid w:val="003A0651"/>
    <w:rsid w:val="003A2119"/>
    <w:rsid w:val="003A306E"/>
    <w:rsid w:val="003A6CD8"/>
    <w:rsid w:val="003A7383"/>
    <w:rsid w:val="003B2FCC"/>
    <w:rsid w:val="003B312F"/>
    <w:rsid w:val="003B37B9"/>
    <w:rsid w:val="003B3E76"/>
    <w:rsid w:val="003B4C32"/>
    <w:rsid w:val="003B572A"/>
    <w:rsid w:val="003C203E"/>
    <w:rsid w:val="003C2404"/>
    <w:rsid w:val="003C466A"/>
    <w:rsid w:val="003C63F2"/>
    <w:rsid w:val="003C6984"/>
    <w:rsid w:val="003C7B71"/>
    <w:rsid w:val="003D223D"/>
    <w:rsid w:val="003D3738"/>
    <w:rsid w:val="003D42F5"/>
    <w:rsid w:val="003D56CF"/>
    <w:rsid w:val="003D70B7"/>
    <w:rsid w:val="003D7E88"/>
    <w:rsid w:val="003E12CC"/>
    <w:rsid w:val="003E335F"/>
    <w:rsid w:val="003E4A8F"/>
    <w:rsid w:val="003E6FC2"/>
    <w:rsid w:val="003E791A"/>
    <w:rsid w:val="003E7939"/>
    <w:rsid w:val="003F0DD9"/>
    <w:rsid w:val="003F15FB"/>
    <w:rsid w:val="003F1DE9"/>
    <w:rsid w:val="003F1F77"/>
    <w:rsid w:val="003F401F"/>
    <w:rsid w:val="003F434B"/>
    <w:rsid w:val="003F4975"/>
    <w:rsid w:val="003F4C27"/>
    <w:rsid w:val="003F7536"/>
    <w:rsid w:val="003F7F8A"/>
    <w:rsid w:val="00401392"/>
    <w:rsid w:val="004018C0"/>
    <w:rsid w:val="0040298B"/>
    <w:rsid w:val="00402F82"/>
    <w:rsid w:val="004032DF"/>
    <w:rsid w:val="00403430"/>
    <w:rsid w:val="0040386F"/>
    <w:rsid w:val="00406417"/>
    <w:rsid w:val="00406C9C"/>
    <w:rsid w:val="00407F36"/>
    <w:rsid w:val="004111C9"/>
    <w:rsid w:val="0041120A"/>
    <w:rsid w:val="00411E39"/>
    <w:rsid w:val="0041300E"/>
    <w:rsid w:val="00413F30"/>
    <w:rsid w:val="00414FE2"/>
    <w:rsid w:val="0041548E"/>
    <w:rsid w:val="004218C8"/>
    <w:rsid w:val="00421A59"/>
    <w:rsid w:val="00421C5B"/>
    <w:rsid w:val="004233B5"/>
    <w:rsid w:val="004260CD"/>
    <w:rsid w:val="00426524"/>
    <w:rsid w:val="004269B8"/>
    <w:rsid w:val="004270B7"/>
    <w:rsid w:val="00427F76"/>
    <w:rsid w:val="00430506"/>
    <w:rsid w:val="00431DB3"/>
    <w:rsid w:val="004336BF"/>
    <w:rsid w:val="00433A2F"/>
    <w:rsid w:val="00433D9C"/>
    <w:rsid w:val="00433F2E"/>
    <w:rsid w:val="00433F72"/>
    <w:rsid w:val="00434AED"/>
    <w:rsid w:val="00435049"/>
    <w:rsid w:val="00436ABE"/>
    <w:rsid w:val="00437F51"/>
    <w:rsid w:val="004404C7"/>
    <w:rsid w:val="00442679"/>
    <w:rsid w:val="00443676"/>
    <w:rsid w:val="00443D92"/>
    <w:rsid w:val="004442D5"/>
    <w:rsid w:val="00444BF7"/>
    <w:rsid w:val="004459F3"/>
    <w:rsid w:val="004461A9"/>
    <w:rsid w:val="0044624F"/>
    <w:rsid w:val="00446269"/>
    <w:rsid w:val="004468C5"/>
    <w:rsid w:val="00447172"/>
    <w:rsid w:val="0044726F"/>
    <w:rsid w:val="00447D84"/>
    <w:rsid w:val="004502AA"/>
    <w:rsid w:val="00451702"/>
    <w:rsid w:val="00453008"/>
    <w:rsid w:val="004540DB"/>
    <w:rsid w:val="0045531B"/>
    <w:rsid w:val="004554D6"/>
    <w:rsid w:val="004555EF"/>
    <w:rsid w:val="004559E1"/>
    <w:rsid w:val="004615A2"/>
    <w:rsid w:val="00463842"/>
    <w:rsid w:val="004676E1"/>
    <w:rsid w:val="0047170E"/>
    <w:rsid w:val="004728E9"/>
    <w:rsid w:val="004739ED"/>
    <w:rsid w:val="00473B51"/>
    <w:rsid w:val="00473E94"/>
    <w:rsid w:val="0047423A"/>
    <w:rsid w:val="00474304"/>
    <w:rsid w:val="00476BEC"/>
    <w:rsid w:val="00477AAC"/>
    <w:rsid w:val="004809CB"/>
    <w:rsid w:val="00483BEC"/>
    <w:rsid w:val="00485250"/>
    <w:rsid w:val="004925F8"/>
    <w:rsid w:val="00492EC4"/>
    <w:rsid w:val="00495A22"/>
    <w:rsid w:val="00496989"/>
    <w:rsid w:val="00497617"/>
    <w:rsid w:val="00497666"/>
    <w:rsid w:val="004A09F6"/>
    <w:rsid w:val="004A11AD"/>
    <w:rsid w:val="004A233A"/>
    <w:rsid w:val="004A2DC5"/>
    <w:rsid w:val="004A4456"/>
    <w:rsid w:val="004A4894"/>
    <w:rsid w:val="004A60EB"/>
    <w:rsid w:val="004A7373"/>
    <w:rsid w:val="004A7AED"/>
    <w:rsid w:val="004B0345"/>
    <w:rsid w:val="004B2979"/>
    <w:rsid w:val="004B3B93"/>
    <w:rsid w:val="004B3EBC"/>
    <w:rsid w:val="004B5DBF"/>
    <w:rsid w:val="004B7D63"/>
    <w:rsid w:val="004C0E41"/>
    <w:rsid w:val="004C1158"/>
    <w:rsid w:val="004C1570"/>
    <w:rsid w:val="004C4415"/>
    <w:rsid w:val="004C5602"/>
    <w:rsid w:val="004C5809"/>
    <w:rsid w:val="004C6F4D"/>
    <w:rsid w:val="004D142D"/>
    <w:rsid w:val="004D296E"/>
    <w:rsid w:val="004D5022"/>
    <w:rsid w:val="004D6E8F"/>
    <w:rsid w:val="004D754F"/>
    <w:rsid w:val="004D7FD4"/>
    <w:rsid w:val="004E0CBB"/>
    <w:rsid w:val="004E39B0"/>
    <w:rsid w:val="004E3DFD"/>
    <w:rsid w:val="004E56D2"/>
    <w:rsid w:val="004E5F5C"/>
    <w:rsid w:val="004E6CCE"/>
    <w:rsid w:val="004E7DFE"/>
    <w:rsid w:val="004F487E"/>
    <w:rsid w:val="004F59BF"/>
    <w:rsid w:val="004F6908"/>
    <w:rsid w:val="004F71E6"/>
    <w:rsid w:val="004F7AE7"/>
    <w:rsid w:val="00500666"/>
    <w:rsid w:val="00500B37"/>
    <w:rsid w:val="00502260"/>
    <w:rsid w:val="005027DD"/>
    <w:rsid w:val="005073F5"/>
    <w:rsid w:val="005074D8"/>
    <w:rsid w:val="00507FAB"/>
    <w:rsid w:val="00510883"/>
    <w:rsid w:val="005113D4"/>
    <w:rsid w:val="0051166A"/>
    <w:rsid w:val="00512454"/>
    <w:rsid w:val="0051255D"/>
    <w:rsid w:val="00513B68"/>
    <w:rsid w:val="00515CEF"/>
    <w:rsid w:val="00517185"/>
    <w:rsid w:val="005223DD"/>
    <w:rsid w:val="00522B4F"/>
    <w:rsid w:val="00522C07"/>
    <w:rsid w:val="00526138"/>
    <w:rsid w:val="005262A2"/>
    <w:rsid w:val="00526C63"/>
    <w:rsid w:val="005319AB"/>
    <w:rsid w:val="00534064"/>
    <w:rsid w:val="00534B49"/>
    <w:rsid w:val="00541FCB"/>
    <w:rsid w:val="005465F9"/>
    <w:rsid w:val="005468FE"/>
    <w:rsid w:val="00546E29"/>
    <w:rsid w:val="00550BCA"/>
    <w:rsid w:val="00551063"/>
    <w:rsid w:val="00551696"/>
    <w:rsid w:val="00551AC9"/>
    <w:rsid w:val="00552426"/>
    <w:rsid w:val="00552E4C"/>
    <w:rsid w:val="005532F4"/>
    <w:rsid w:val="0055363C"/>
    <w:rsid w:val="00555517"/>
    <w:rsid w:val="00555624"/>
    <w:rsid w:val="0055723E"/>
    <w:rsid w:val="00561855"/>
    <w:rsid w:val="005619E5"/>
    <w:rsid w:val="00562229"/>
    <w:rsid w:val="00564166"/>
    <w:rsid w:val="005656C8"/>
    <w:rsid w:val="0056656A"/>
    <w:rsid w:val="00567B14"/>
    <w:rsid w:val="0057150E"/>
    <w:rsid w:val="00571C7A"/>
    <w:rsid w:val="00573BB9"/>
    <w:rsid w:val="00575D3D"/>
    <w:rsid w:val="0057692F"/>
    <w:rsid w:val="005812C2"/>
    <w:rsid w:val="005818FF"/>
    <w:rsid w:val="00583455"/>
    <w:rsid w:val="00586D88"/>
    <w:rsid w:val="005875CB"/>
    <w:rsid w:val="00587BA9"/>
    <w:rsid w:val="005963E5"/>
    <w:rsid w:val="005970CA"/>
    <w:rsid w:val="0059794E"/>
    <w:rsid w:val="005A072B"/>
    <w:rsid w:val="005A0CC3"/>
    <w:rsid w:val="005A0D66"/>
    <w:rsid w:val="005A1B46"/>
    <w:rsid w:val="005A48E8"/>
    <w:rsid w:val="005A4ED7"/>
    <w:rsid w:val="005A50C3"/>
    <w:rsid w:val="005A614E"/>
    <w:rsid w:val="005A6E96"/>
    <w:rsid w:val="005A7293"/>
    <w:rsid w:val="005B3F4E"/>
    <w:rsid w:val="005B41A4"/>
    <w:rsid w:val="005C03BB"/>
    <w:rsid w:val="005C28A6"/>
    <w:rsid w:val="005C2F5C"/>
    <w:rsid w:val="005C46B7"/>
    <w:rsid w:val="005C5310"/>
    <w:rsid w:val="005C5AF8"/>
    <w:rsid w:val="005C6165"/>
    <w:rsid w:val="005D0694"/>
    <w:rsid w:val="005D113D"/>
    <w:rsid w:val="005D1F96"/>
    <w:rsid w:val="005D263F"/>
    <w:rsid w:val="005D568A"/>
    <w:rsid w:val="005D5B89"/>
    <w:rsid w:val="005D6383"/>
    <w:rsid w:val="005D7B45"/>
    <w:rsid w:val="005E082B"/>
    <w:rsid w:val="005E128D"/>
    <w:rsid w:val="005E2A2B"/>
    <w:rsid w:val="005E2BB0"/>
    <w:rsid w:val="005E3B63"/>
    <w:rsid w:val="005E4548"/>
    <w:rsid w:val="005E4AD6"/>
    <w:rsid w:val="005E5DD3"/>
    <w:rsid w:val="005E5F14"/>
    <w:rsid w:val="005E787B"/>
    <w:rsid w:val="005F2031"/>
    <w:rsid w:val="005F2CC7"/>
    <w:rsid w:val="005F4141"/>
    <w:rsid w:val="005F59CD"/>
    <w:rsid w:val="005F6D50"/>
    <w:rsid w:val="005F782B"/>
    <w:rsid w:val="005F7BFC"/>
    <w:rsid w:val="00602631"/>
    <w:rsid w:val="00602917"/>
    <w:rsid w:val="00602C1B"/>
    <w:rsid w:val="00602E08"/>
    <w:rsid w:val="00605012"/>
    <w:rsid w:val="00606D94"/>
    <w:rsid w:val="00610791"/>
    <w:rsid w:val="0061253D"/>
    <w:rsid w:val="00612CE6"/>
    <w:rsid w:val="00612D64"/>
    <w:rsid w:val="00613541"/>
    <w:rsid w:val="0061363B"/>
    <w:rsid w:val="00613962"/>
    <w:rsid w:val="006150D0"/>
    <w:rsid w:val="00615D13"/>
    <w:rsid w:val="00615D56"/>
    <w:rsid w:val="006162EE"/>
    <w:rsid w:val="00616365"/>
    <w:rsid w:val="00617180"/>
    <w:rsid w:val="00617C31"/>
    <w:rsid w:val="00620ACD"/>
    <w:rsid w:val="00620E07"/>
    <w:rsid w:val="00621394"/>
    <w:rsid w:val="00621A5C"/>
    <w:rsid w:val="00621FE7"/>
    <w:rsid w:val="00623D44"/>
    <w:rsid w:val="006241CD"/>
    <w:rsid w:val="0062671B"/>
    <w:rsid w:val="00626944"/>
    <w:rsid w:val="006308DD"/>
    <w:rsid w:val="006314AC"/>
    <w:rsid w:val="00632056"/>
    <w:rsid w:val="006326E3"/>
    <w:rsid w:val="0063328B"/>
    <w:rsid w:val="0063367F"/>
    <w:rsid w:val="00633897"/>
    <w:rsid w:val="00633A6F"/>
    <w:rsid w:val="00634193"/>
    <w:rsid w:val="0063483C"/>
    <w:rsid w:val="00634A1B"/>
    <w:rsid w:val="0064107F"/>
    <w:rsid w:val="00641C90"/>
    <w:rsid w:val="00644A07"/>
    <w:rsid w:val="00644F32"/>
    <w:rsid w:val="00650F28"/>
    <w:rsid w:val="00651B34"/>
    <w:rsid w:val="00652717"/>
    <w:rsid w:val="00653047"/>
    <w:rsid w:val="006530DF"/>
    <w:rsid w:val="00653336"/>
    <w:rsid w:val="006537DB"/>
    <w:rsid w:val="00653FAD"/>
    <w:rsid w:val="00654DA2"/>
    <w:rsid w:val="00660CE4"/>
    <w:rsid w:val="00660EB7"/>
    <w:rsid w:val="00666242"/>
    <w:rsid w:val="006663DB"/>
    <w:rsid w:val="00666A96"/>
    <w:rsid w:val="006707D4"/>
    <w:rsid w:val="00673A37"/>
    <w:rsid w:val="00673E0A"/>
    <w:rsid w:val="0067423A"/>
    <w:rsid w:val="006755E5"/>
    <w:rsid w:val="00675ADC"/>
    <w:rsid w:val="00682459"/>
    <w:rsid w:val="006847E1"/>
    <w:rsid w:val="006856B5"/>
    <w:rsid w:val="00686848"/>
    <w:rsid w:val="006877C7"/>
    <w:rsid w:val="00690133"/>
    <w:rsid w:val="0069131C"/>
    <w:rsid w:val="00692735"/>
    <w:rsid w:val="006A04DE"/>
    <w:rsid w:val="006A21B2"/>
    <w:rsid w:val="006A2229"/>
    <w:rsid w:val="006A4653"/>
    <w:rsid w:val="006A4FB7"/>
    <w:rsid w:val="006A58EA"/>
    <w:rsid w:val="006A5F3A"/>
    <w:rsid w:val="006A6265"/>
    <w:rsid w:val="006A6D0A"/>
    <w:rsid w:val="006A6E98"/>
    <w:rsid w:val="006A7F73"/>
    <w:rsid w:val="006B13F0"/>
    <w:rsid w:val="006B1948"/>
    <w:rsid w:val="006B29DA"/>
    <w:rsid w:val="006B320D"/>
    <w:rsid w:val="006B346F"/>
    <w:rsid w:val="006B394A"/>
    <w:rsid w:val="006B39BD"/>
    <w:rsid w:val="006B4577"/>
    <w:rsid w:val="006B5B74"/>
    <w:rsid w:val="006B5EF6"/>
    <w:rsid w:val="006C0201"/>
    <w:rsid w:val="006C08DC"/>
    <w:rsid w:val="006C115C"/>
    <w:rsid w:val="006C121F"/>
    <w:rsid w:val="006C3C7E"/>
    <w:rsid w:val="006C3E7F"/>
    <w:rsid w:val="006C41E8"/>
    <w:rsid w:val="006C4453"/>
    <w:rsid w:val="006C47FD"/>
    <w:rsid w:val="006C48E4"/>
    <w:rsid w:val="006C4979"/>
    <w:rsid w:val="006C4C34"/>
    <w:rsid w:val="006C70DF"/>
    <w:rsid w:val="006D133B"/>
    <w:rsid w:val="006D6084"/>
    <w:rsid w:val="006D64FD"/>
    <w:rsid w:val="006D715F"/>
    <w:rsid w:val="006E14DD"/>
    <w:rsid w:val="006E543B"/>
    <w:rsid w:val="006E6001"/>
    <w:rsid w:val="006E7618"/>
    <w:rsid w:val="006F296F"/>
    <w:rsid w:val="006F40C6"/>
    <w:rsid w:val="006F4A70"/>
    <w:rsid w:val="006F4C5C"/>
    <w:rsid w:val="006F4E28"/>
    <w:rsid w:val="0070008B"/>
    <w:rsid w:val="00701212"/>
    <w:rsid w:val="00701BF3"/>
    <w:rsid w:val="00701C41"/>
    <w:rsid w:val="0070462F"/>
    <w:rsid w:val="00707268"/>
    <w:rsid w:val="007073B7"/>
    <w:rsid w:val="00707581"/>
    <w:rsid w:val="00710771"/>
    <w:rsid w:val="00715EE5"/>
    <w:rsid w:val="007162D7"/>
    <w:rsid w:val="00717B50"/>
    <w:rsid w:val="00717DDB"/>
    <w:rsid w:val="00720DBB"/>
    <w:rsid w:val="0072248D"/>
    <w:rsid w:val="00724528"/>
    <w:rsid w:val="0072529C"/>
    <w:rsid w:val="0072686A"/>
    <w:rsid w:val="00726C2D"/>
    <w:rsid w:val="00726DD7"/>
    <w:rsid w:val="00726F7E"/>
    <w:rsid w:val="0073090E"/>
    <w:rsid w:val="007319A4"/>
    <w:rsid w:val="0073205E"/>
    <w:rsid w:val="007357A6"/>
    <w:rsid w:val="00735E4C"/>
    <w:rsid w:val="007372F0"/>
    <w:rsid w:val="007400F9"/>
    <w:rsid w:val="00741083"/>
    <w:rsid w:val="00741FA2"/>
    <w:rsid w:val="007425D8"/>
    <w:rsid w:val="007427AE"/>
    <w:rsid w:val="00742A1C"/>
    <w:rsid w:val="00742A7E"/>
    <w:rsid w:val="00747313"/>
    <w:rsid w:val="0074776C"/>
    <w:rsid w:val="00750D33"/>
    <w:rsid w:val="00750F0F"/>
    <w:rsid w:val="007536CE"/>
    <w:rsid w:val="00753E10"/>
    <w:rsid w:val="00754CB7"/>
    <w:rsid w:val="00755E60"/>
    <w:rsid w:val="00757200"/>
    <w:rsid w:val="00763CA1"/>
    <w:rsid w:val="00763D11"/>
    <w:rsid w:val="00763EAE"/>
    <w:rsid w:val="00764FA1"/>
    <w:rsid w:val="00765337"/>
    <w:rsid w:val="0076578F"/>
    <w:rsid w:val="00766AA1"/>
    <w:rsid w:val="00767980"/>
    <w:rsid w:val="00772241"/>
    <w:rsid w:val="00772981"/>
    <w:rsid w:val="00773064"/>
    <w:rsid w:val="00773A93"/>
    <w:rsid w:val="00776046"/>
    <w:rsid w:val="0077749A"/>
    <w:rsid w:val="00777D0B"/>
    <w:rsid w:val="007800FB"/>
    <w:rsid w:val="00780155"/>
    <w:rsid w:val="00780D07"/>
    <w:rsid w:val="00781D5E"/>
    <w:rsid w:val="007835F5"/>
    <w:rsid w:val="00785DF7"/>
    <w:rsid w:val="00787C15"/>
    <w:rsid w:val="00790A1F"/>
    <w:rsid w:val="00790D35"/>
    <w:rsid w:val="007926F1"/>
    <w:rsid w:val="00794030"/>
    <w:rsid w:val="00794785"/>
    <w:rsid w:val="007954A4"/>
    <w:rsid w:val="00795B0D"/>
    <w:rsid w:val="00797431"/>
    <w:rsid w:val="007A0FDD"/>
    <w:rsid w:val="007A279F"/>
    <w:rsid w:val="007A2F7F"/>
    <w:rsid w:val="007A43CE"/>
    <w:rsid w:val="007A4E48"/>
    <w:rsid w:val="007B1111"/>
    <w:rsid w:val="007B23B9"/>
    <w:rsid w:val="007B27E1"/>
    <w:rsid w:val="007B490B"/>
    <w:rsid w:val="007B7773"/>
    <w:rsid w:val="007C22AC"/>
    <w:rsid w:val="007C431A"/>
    <w:rsid w:val="007C4C52"/>
    <w:rsid w:val="007C4E61"/>
    <w:rsid w:val="007C51DE"/>
    <w:rsid w:val="007C52D6"/>
    <w:rsid w:val="007C63C0"/>
    <w:rsid w:val="007C7C96"/>
    <w:rsid w:val="007D0ADE"/>
    <w:rsid w:val="007D1E76"/>
    <w:rsid w:val="007D2D82"/>
    <w:rsid w:val="007D37FD"/>
    <w:rsid w:val="007D5823"/>
    <w:rsid w:val="007D7935"/>
    <w:rsid w:val="007D7A63"/>
    <w:rsid w:val="007D7CD9"/>
    <w:rsid w:val="007D7F4F"/>
    <w:rsid w:val="007E095F"/>
    <w:rsid w:val="007E1C2B"/>
    <w:rsid w:val="007E321C"/>
    <w:rsid w:val="007E34F3"/>
    <w:rsid w:val="007E3DFA"/>
    <w:rsid w:val="007E5BAB"/>
    <w:rsid w:val="007E7AF4"/>
    <w:rsid w:val="007F0F97"/>
    <w:rsid w:val="007F1642"/>
    <w:rsid w:val="007F4705"/>
    <w:rsid w:val="007F53B8"/>
    <w:rsid w:val="007F6B2B"/>
    <w:rsid w:val="007F6D91"/>
    <w:rsid w:val="00801264"/>
    <w:rsid w:val="00803BCF"/>
    <w:rsid w:val="00804C20"/>
    <w:rsid w:val="00804D5F"/>
    <w:rsid w:val="008105A5"/>
    <w:rsid w:val="00810EEC"/>
    <w:rsid w:val="008115BF"/>
    <w:rsid w:val="0081198C"/>
    <w:rsid w:val="008134FC"/>
    <w:rsid w:val="008145A4"/>
    <w:rsid w:val="00814AD9"/>
    <w:rsid w:val="00815521"/>
    <w:rsid w:val="008157F7"/>
    <w:rsid w:val="00815880"/>
    <w:rsid w:val="00815A1B"/>
    <w:rsid w:val="00817C97"/>
    <w:rsid w:val="00817DFD"/>
    <w:rsid w:val="0082143C"/>
    <w:rsid w:val="00823C35"/>
    <w:rsid w:val="00825453"/>
    <w:rsid w:val="00825789"/>
    <w:rsid w:val="00825D72"/>
    <w:rsid w:val="008300A7"/>
    <w:rsid w:val="00830400"/>
    <w:rsid w:val="00830DA6"/>
    <w:rsid w:val="00831C02"/>
    <w:rsid w:val="00832355"/>
    <w:rsid w:val="00832A7B"/>
    <w:rsid w:val="00832A96"/>
    <w:rsid w:val="00833A73"/>
    <w:rsid w:val="00834784"/>
    <w:rsid w:val="00834C5A"/>
    <w:rsid w:val="0083522F"/>
    <w:rsid w:val="00836637"/>
    <w:rsid w:val="00836E94"/>
    <w:rsid w:val="00837935"/>
    <w:rsid w:val="00837A7A"/>
    <w:rsid w:val="008407EC"/>
    <w:rsid w:val="0084125B"/>
    <w:rsid w:val="00841D4F"/>
    <w:rsid w:val="00847A24"/>
    <w:rsid w:val="008502EB"/>
    <w:rsid w:val="00850DB5"/>
    <w:rsid w:val="008522B2"/>
    <w:rsid w:val="008532AF"/>
    <w:rsid w:val="00854EDF"/>
    <w:rsid w:val="00856336"/>
    <w:rsid w:val="00860741"/>
    <w:rsid w:val="00860FAB"/>
    <w:rsid w:val="00862178"/>
    <w:rsid w:val="008634AF"/>
    <w:rsid w:val="00865438"/>
    <w:rsid w:val="008659F5"/>
    <w:rsid w:val="00867563"/>
    <w:rsid w:val="00871095"/>
    <w:rsid w:val="00871353"/>
    <w:rsid w:val="00871C73"/>
    <w:rsid w:val="00873BBF"/>
    <w:rsid w:val="00875292"/>
    <w:rsid w:val="00876145"/>
    <w:rsid w:val="00877FB1"/>
    <w:rsid w:val="008827BD"/>
    <w:rsid w:val="008860AB"/>
    <w:rsid w:val="00886314"/>
    <w:rsid w:val="00890699"/>
    <w:rsid w:val="008913FF"/>
    <w:rsid w:val="00892B7F"/>
    <w:rsid w:val="00893C5D"/>
    <w:rsid w:val="008955F3"/>
    <w:rsid w:val="008973CC"/>
    <w:rsid w:val="00897566"/>
    <w:rsid w:val="00897A11"/>
    <w:rsid w:val="008A01ED"/>
    <w:rsid w:val="008A0D3A"/>
    <w:rsid w:val="008A1393"/>
    <w:rsid w:val="008A3539"/>
    <w:rsid w:val="008A64AC"/>
    <w:rsid w:val="008A72DD"/>
    <w:rsid w:val="008B16B5"/>
    <w:rsid w:val="008B1F51"/>
    <w:rsid w:val="008B2678"/>
    <w:rsid w:val="008B2C07"/>
    <w:rsid w:val="008B3BD3"/>
    <w:rsid w:val="008B5AC4"/>
    <w:rsid w:val="008B6309"/>
    <w:rsid w:val="008B7569"/>
    <w:rsid w:val="008B7628"/>
    <w:rsid w:val="008C304F"/>
    <w:rsid w:val="008C3A9B"/>
    <w:rsid w:val="008C4A74"/>
    <w:rsid w:val="008C5D26"/>
    <w:rsid w:val="008C6C6A"/>
    <w:rsid w:val="008D0761"/>
    <w:rsid w:val="008D171C"/>
    <w:rsid w:val="008D2AF8"/>
    <w:rsid w:val="008D2D11"/>
    <w:rsid w:val="008D36AF"/>
    <w:rsid w:val="008D4535"/>
    <w:rsid w:val="008D5892"/>
    <w:rsid w:val="008D5897"/>
    <w:rsid w:val="008D5B57"/>
    <w:rsid w:val="008E20E2"/>
    <w:rsid w:val="008E2E6B"/>
    <w:rsid w:val="008E477E"/>
    <w:rsid w:val="008E47EB"/>
    <w:rsid w:val="008E5498"/>
    <w:rsid w:val="008E63B5"/>
    <w:rsid w:val="008E67C0"/>
    <w:rsid w:val="008E7DD7"/>
    <w:rsid w:val="008F0628"/>
    <w:rsid w:val="008F14C9"/>
    <w:rsid w:val="008F2390"/>
    <w:rsid w:val="008F2E36"/>
    <w:rsid w:val="008F359D"/>
    <w:rsid w:val="008F3DFA"/>
    <w:rsid w:val="008F74C1"/>
    <w:rsid w:val="008F7E74"/>
    <w:rsid w:val="00901756"/>
    <w:rsid w:val="009069D8"/>
    <w:rsid w:val="00906B6D"/>
    <w:rsid w:val="00906DE6"/>
    <w:rsid w:val="00907347"/>
    <w:rsid w:val="00910D14"/>
    <w:rsid w:val="009116B5"/>
    <w:rsid w:val="00911F52"/>
    <w:rsid w:val="009126B5"/>
    <w:rsid w:val="00912AAE"/>
    <w:rsid w:val="00912B93"/>
    <w:rsid w:val="009136BF"/>
    <w:rsid w:val="00914D50"/>
    <w:rsid w:val="00916E0A"/>
    <w:rsid w:val="00917C6A"/>
    <w:rsid w:val="00920607"/>
    <w:rsid w:val="0092203B"/>
    <w:rsid w:val="009236EA"/>
    <w:rsid w:val="00923E37"/>
    <w:rsid w:val="0092477F"/>
    <w:rsid w:val="00924F99"/>
    <w:rsid w:val="0092526A"/>
    <w:rsid w:val="00925C77"/>
    <w:rsid w:val="009261EC"/>
    <w:rsid w:val="00926211"/>
    <w:rsid w:val="00926624"/>
    <w:rsid w:val="0093080A"/>
    <w:rsid w:val="009317C6"/>
    <w:rsid w:val="0093223B"/>
    <w:rsid w:val="0093351F"/>
    <w:rsid w:val="009359A0"/>
    <w:rsid w:val="009362CB"/>
    <w:rsid w:val="00940ABB"/>
    <w:rsid w:val="00943327"/>
    <w:rsid w:val="00943FD6"/>
    <w:rsid w:val="009444F4"/>
    <w:rsid w:val="00945224"/>
    <w:rsid w:val="00951CEC"/>
    <w:rsid w:val="00951F0E"/>
    <w:rsid w:val="0095438F"/>
    <w:rsid w:val="009547E6"/>
    <w:rsid w:val="0095525D"/>
    <w:rsid w:val="00955C21"/>
    <w:rsid w:val="00961D40"/>
    <w:rsid w:val="0096201C"/>
    <w:rsid w:val="009635A6"/>
    <w:rsid w:val="00963E04"/>
    <w:rsid w:val="0097121A"/>
    <w:rsid w:val="0097197F"/>
    <w:rsid w:val="00974D7F"/>
    <w:rsid w:val="00977C31"/>
    <w:rsid w:val="00977EA6"/>
    <w:rsid w:val="009815F8"/>
    <w:rsid w:val="00981853"/>
    <w:rsid w:val="00981BED"/>
    <w:rsid w:val="00982CD0"/>
    <w:rsid w:val="00985114"/>
    <w:rsid w:val="0098518F"/>
    <w:rsid w:val="009856D9"/>
    <w:rsid w:val="00985A58"/>
    <w:rsid w:val="00985F6A"/>
    <w:rsid w:val="00986CD3"/>
    <w:rsid w:val="0098757E"/>
    <w:rsid w:val="00990359"/>
    <w:rsid w:val="00990EC5"/>
    <w:rsid w:val="009931A0"/>
    <w:rsid w:val="009936A8"/>
    <w:rsid w:val="009944A9"/>
    <w:rsid w:val="009962CB"/>
    <w:rsid w:val="009A0C78"/>
    <w:rsid w:val="009A0E3C"/>
    <w:rsid w:val="009A288D"/>
    <w:rsid w:val="009A3E29"/>
    <w:rsid w:val="009A4601"/>
    <w:rsid w:val="009A50E2"/>
    <w:rsid w:val="009A51B6"/>
    <w:rsid w:val="009B0014"/>
    <w:rsid w:val="009B01DA"/>
    <w:rsid w:val="009B0352"/>
    <w:rsid w:val="009B09A3"/>
    <w:rsid w:val="009B0B9B"/>
    <w:rsid w:val="009B2675"/>
    <w:rsid w:val="009B30C2"/>
    <w:rsid w:val="009B4A39"/>
    <w:rsid w:val="009B4B5F"/>
    <w:rsid w:val="009C2083"/>
    <w:rsid w:val="009C24D1"/>
    <w:rsid w:val="009C29F2"/>
    <w:rsid w:val="009C471B"/>
    <w:rsid w:val="009C51FF"/>
    <w:rsid w:val="009C702E"/>
    <w:rsid w:val="009D4A71"/>
    <w:rsid w:val="009D4ACD"/>
    <w:rsid w:val="009D6B25"/>
    <w:rsid w:val="009D6D1C"/>
    <w:rsid w:val="009E11EA"/>
    <w:rsid w:val="009E1DDB"/>
    <w:rsid w:val="009E2E2E"/>
    <w:rsid w:val="009E362F"/>
    <w:rsid w:val="009E3D28"/>
    <w:rsid w:val="009E3E4B"/>
    <w:rsid w:val="009E4830"/>
    <w:rsid w:val="009E4C32"/>
    <w:rsid w:val="009E4DEE"/>
    <w:rsid w:val="009E4ED0"/>
    <w:rsid w:val="009E593A"/>
    <w:rsid w:val="009E7CE3"/>
    <w:rsid w:val="009F0C3E"/>
    <w:rsid w:val="009F1ADD"/>
    <w:rsid w:val="009F55B5"/>
    <w:rsid w:val="009F6002"/>
    <w:rsid w:val="00A00605"/>
    <w:rsid w:val="00A006E7"/>
    <w:rsid w:val="00A01775"/>
    <w:rsid w:val="00A031A9"/>
    <w:rsid w:val="00A047BA"/>
    <w:rsid w:val="00A05F99"/>
    <w:rsid w:val="00A071E8"/>
    <w:rsid w:val="00A10A6B"/>
    <w:rsid w:val="00A10CD6"/>
    <w:rsid w:val="00A1187F"/>
    <w:rsid w:val="00A16586"/>
    <w:rsid w:val="00A17045"/>
    <w:rsid w:val="00A174AA"/>
    <w:rsid w:val="00A2085C"/>
    <w:rsid w:val="00A2299C"/>
    <w:rsid w:val="00A235FA"/>
    <w:rsid w:val="00A26395"/>
    <w:rsid w:val="00A273A1"/>
    <w:rsid w:val="00A27B65"/>
    <w:rsid w:val="00A303B1"/>
    <w:rsid w:val="00A32ECC"/>
    <w:rsid w:val="00A33C87"/>
    <w:rsid w:val="00A35AF8"/>
    <w:rsid w:val="00A3711B"/>
    <w:rsid w:val="00A379DA"/>
    <w:rsid w:val="00A37B78"/>
    <w:rsid w:val="00A40D51"/>
    <w:rsid w:val="00A412B7"/>
    <w:rsid w:val="00A4164B"/>
    <w:rsid w:val="00A418F3"/>
    <w:rsid w:val="00A43FF3"/>
    <w:rsid w:val="00A508F5"/>
    <w:rsid w:val="00A531E1"/>
    <w:rsid w:val="00A536DB"/>
    <w:rsid w:val="00A53FC3"/>
    <w:rsid w:val="00A54C8E"/>
    <w:rsid w:val="00A557F7"/>
    <w:rsid w:val="00A56C44"/>
    <w:rsid w:val="00A57852"/>
    <w:rsid w:val="00A60493"/>
    <w:rsid w:val="00A622C3"/>
    <w:rsid w:val="00A63514"/>
    <w:rsid w:val="00A637B0"/>
    <w:rsid w:val="00A637C2"/>
    <w:rsid w:val="00A63D79"/>
    <w:rsid w:val="00A63E18"/>
    <w:rsid w:val="00A641A8"/>
    <w:rsid w:val="00A64DAE"/>
    <w:rsid w:val="00A650CA"/>
    <w:rsid w:val="00A66F29"/>
    <w:rsid w:val="00A70225"/>
    <w:rsid w:val="00A72D03"/>
    <w:rsid w:val="00A732E5"/>
    <w:rsid w:val="00A7378B"/>
    <w:rsid w:val="00A7395C"/>
    <w:rsid w:val="00A73F6C"/>
    <w:rsid w:val="00A74BFD"/>
    <w:rsid w:val="00A75443"/>
    <w:rsid w:val="00A77127"/>
    <w:rsid w:val="00A8099D"/>
    <w:rsid w:val="00A8111D"/>
    <w:rsid w:val="00A81711"/>
    <w:rsid w:val="00A8172E"/>
    <w:rsid w:val="00A83EFC"/>
    <w:rsid w:val="00A8589B"/>
    <w:rsid w:val="00A93243"/>
    <w:rsid w:val="00A93AB0"/>
    <w:rsid w:val="00A93BA4"/>
    <w:rsid w:val="00A96556"/>
    <w:rsid w:val="00AA136A"/>
    <w:rsid w:val="00AA198B"/>
    <w:rsid w:val="00AA492B"/>
    <w:rsid w:val="00AA4AF5"/>
    <w:rsid w:val="00AA5922"/>
    <w:rsid w:val="00AA5E35"/>
    <w:rsid w:val="00AA63EF"/>
    <w:rsid w:val="00AA653E"/>
    <w:rsid w:val="00AA7239"/>
    <w:rsid w:val="00AB0366"/>
    <w:rsid w:val="00AB0823"/>
    <w:rsid w:val="00AB386E"/>
    <w:rsid w:val="00AB4332"/>
    <w:rsid w:val="00AB4E01"/>
    <w:rsid w:val="00AB682B"/>
    <w:rsid w:val="00AB7078"/>
    <w:rsid w:val="00AB7C5F"/>
    <w:rsid w:val="00AC00D5"/>
    <w:rsid w:val="00AC030D"/>
    <w:rsid w:val="00AC119D"/>
    <w:rsid w:val="00AC14E7"/>
    <w:rsid w:val="00AC1E41"/>
    <w:rsid w:val="00AC22B0"/>
    <w:rsid w:val="00AC2ED6"/>
    <w:rsid w:val="00AC392B"/>
    <w:rsid w:val="00AC6DD5"/>
    <w:rsid w:val="00AC7541"/>
    <w:rsid w:val="00AD1A2C"/>
    <w:rsid w:val="00AD2F64"/>
    <w:rsid w:val="00AD57F8"/>
    <w:rsid w:val="00AD58C2"/>
    <w:rsid w:val="00AD7A85"/>
    <w:rsid w:val="00AE1E65"/>
    <w:rsid w:val="00AE3EDA"/>
    <w:rsid w:val="00AE402E"/>
    <w:rsid w:val="00AE47B0"/>
    <w:rsid w:val="00AE4A62"/>
    <w:rsid w:val="00AE5C98"/>
    <w:rsid w:val="00AF178F"/>
    <w:rsid w:val="00AF1A43"/>
    <w:rsid w:val="00AF2934"/>
    <w:rsid w:val="00AF598F"/>
    <w:rsid w:val="00AF783B"/>
    <w:rsid w:val="00B011BB"/>
    <w:rsid w:val="00B0134A"/>
    <w:rsid w:val="00B03589"/>
    <w:rsid w:val="00B03AD1"/>
    <w:rsid w:val="00B07BD5"/>
    <w:rsid w:val="00B1162F"/>
    <w:rsid w:val="00B12EA7"/>
    <w:rsid w:val="00B1397E"/>
    <w:rsid w:val="00B147D6"/>
    <w:rsid w:val="00B1598A"/>
    <w:rsid w:val="00B15AAA"/>
    <w:rsid w:val="00B161D9"/>
    <w:rsid w:val="00B17298"/>
    <w:rsid w:val="00B17462"/>
    <w:rsid w:val="00B20289"/>
    <w:rsid w:val="00B2124C"/>
    <w:rsid w:val="00B268C4"/>
    <w:rsid w:val="00B31534"/>
    <w:rsid w:val="00B32A72"/>
    <w:rsid w:val="00B369E9"/>
    <w:rsid w:val="00B37D2D"/>
    <w:rsid w:val="00B37FC1"/>
    <w:rsid w:val="00B41542"/>
    <w:rsid w:val="00B4431D"/>
    <w:rsid w:val="00B443D0"/>
    <w:rsid w:val="00B46743"/>
    <w:rsid w:val="00B46ECC"/>
    <w:rsid w:val="00B50195"/>
    <w:rsid w:val="00B50780"/>
    <w:rsid w:val="00B50E1A"/>
    <w:rsid w:val="00B51C7B"/>
    <w:rsid w:val="00B5490C"/>
    <w:rsid w:val="00B57506"/>
    <w:rsid w:val="00B57E3A"/>
    <w:rsid w:val="00B60151"/>
    <w:rsid w:val="00B6037A"/>
    <w:rsid w:val="00B61826"/>
    <w:rsid w:val="00B61E09"/>
    <w:rsid w:val="00B62F56"/>
    <w:rsid w:val="00B64484"/>
    <w:rsid w:val="00B647BD"/>
    <w:rsid w:val="00B65092"/>
    <w:rsid w:val="00B654EF"/>
    <w:rsid w:val="00B65BE2"/>
    <w:rsid w:val="00B6647F"/>
    <w:rsid w:val="00B67EFE"/>
    <w:rsid w:val="00B7078F"/>
    <w:rsid w:val="00B70CAA"/>
    <w:rsid w:val="00B720D1"/>
    <w:rsid w:val="00B73A0A"/>
    <w:rsid w:val="00B74408"/>
    <w:rsid w:val="00B7490E"/>
    <w:rsid w:val="00B74D2B"/>
    <w:rsid w:val="00B75382"/>
    <w:rsid w:val="00B75580"/>
    <w:rsid w:val="00B7601F"/>
    <w:rsid w:val="00B76919"/>
    <w:rsid w:val="00B77539"/>
    <w:rsid w:val="00B844CC"/>
    <w:rsid w:val="00B845B8"/>
    <w:rsid w:val="00B85BF4"/>
    <w:rsid w:val="00B86AA8"/>
    <w:rsid w:val="00B86F54"/>
    <w:rsid w:val="00B903FF"/>
    <w:rsid w:val="00B91E1C"/>
    <w:rsid w:val="00B92AC3"/>
    <w:rsid w:val="00B93EEF"/>
    <w:rsid w:val="00B95D77"/>
    <w:rsid w:val="00B95EB7"/>
    <w:rsid w:val="00BA2045"/>
    <w:rsid w:val="00BA339D"/>
    <w:rsid w:val="00BA5255"/>
    <w:rsid w:val="00BB16B0"/>
    <w:rsid w:val="00BB44F8"/>
    <w:rsid w:val="00BB5071"/>
    <w:rsid w:val="00BB54E8"/>
    <w:rsid w:val="00BB7FF8"/>
    <w:rsid w:val="00BC43D4"/>
    <w:rsid w:val="00BC44D1"/>
    <w:rsid w:val="00BC4B6A"/>
    <w:rsid w:val="00BC4CD7"/>
    <w:rsid w:val="00BC66D8"/>
    <w:rsid w:val="00BC7B12"/>
    <w:rsid w:val="00BD0BB8"/>
    <w:rsid w:val="00BD0C4C"/>
    <w:rsid w:val="00BD1429"/>
    <w:rsid w:val="00BD22AF"/>
    <w:rsid w:val="00BD4ABD"/>
    <w:rsid w:val="00BD4B5B"/>
    <w:rsid w:val="00BD5CE7"/>
    <w:rsid w:val="00BD5E0C"/>
    <w:rsid w:val="00BD6376"/>
    <w:rsid w:val="00BD6D0B"/>
    <w:rsid w:val="00BE1C30"/>
    <w:rsid w:val="00BE2171"/>
    <w:rsid w:val="00BE37DC"/>
    <w:rsid w:val="00BE4035"/>
    <w:rsid w:val="00BE4836"/>
    <w:rsid w:val="00BE69A4"/>
    <w:rsid w:val="00BE78ED"/>
    <w:rsid w:val="00BF0773"/>
    <w:rsid w:val="00BF085F"/>
    <w:rsid w:val="00BF2F0F"/>
    <w:rsid w:val="00BF324F"/>
    <w:rsid w:val="00BF4B8B"/>
    <w:rsid w:val="00BF581E"/>
    <w:rsid w:val="00BF783C"/>
    <w:rsid w:val="00C0010B"/>
    <w:rsid w:val="00C02513"/>
    <w:rsid w:val="00C02ED0"/>
    <w:rsid w:val="00C03227"/>
    <w:rsid w:val="00C042B0"/>
    <w:rsid w:val="00C048BF"/>
    <w:rsid w:val="00C07248"/>
    <w:rsid w:val="00C07E06"/>
    <w:rsid w:val="00C1018A"/>
    <w:rsid w:val="00C101CB"/>
    <w:rsid w:val="00C1024C"/>
    <w:rsid w:val="00C12A64"/>
    <w:rsid w:val="00C13145"/>
    <w:rsid w:val="00C13623"/>
    <w:rsid w:val="00C13B19"/>
    <w:rsid w:val="00C140A7"/>
    <w:rsid w:val="00C14469"/>
    <w:rsid w:val="00C15684"/>
    <w:rsid w:val="00C15890"/>
    <w:rsid w:val="00C15EF5"/>
    <w:rsid w:val="00C20A36"/>
    <w:rsid w:val="00C20AB4"/>
    <w:rsid w:val="00C20CDA"/>
    <w:rsid w:val="00C21562"/>
    <w:rsid w:val="00C22DCB"/>
    <w:rsid w:val="00C23110"/>
    <w:rsid w:val="00C24556"/>
    <w:rsid w:val="00C271F3"/>
    <w:rsid w:val="00C3047F"/>
    <w:rsid w:val="00C33D4F"/>
    <w:rsid w:val="00C345FE"/>
    <w:rsid w:val="00C348F5"/>
    <w:rsid w:val="00C34963"/>
    <w:rsid w:val="00C35046"/>
    <w:rsid w:val="00C36EA4"/>
    <w:rsid w:val="00C416AF"/>
    <w:rsid w:val="00C429A8"/>
    <w:rsid w:val="00C431DE"/>
    <w:rsid w:val="00C4321F"/>
    <w:rsid w:val="00C43339"/>
    <w:rsid w:val="00C44095"/>
    <w:rsid w:val="00C456B8"/>
    <w:rsid w:val="00C456CC"/>
    <w:rsid w:val="00C4674F"/>
    <w:rsid w:val="00C46BAD"/>
    <w:rsid w:val="00C46EB6"/>
    <w:rsid w:val="00C51538"/>
    <w:rsid w:val="00C51B5B"/>
    <w:rsid w:val="00C51C8D"/>
    <w:rsid w:val="00C53A03"/>
    <w:rsid w:val="00C53F22"/>
    <w:rsid w:val="00C5457F"/>
    <w:rsid w:val="00C545A7"/>
    <w:rsid w:val="00C55BE7"/>
    <w:rsid w:val="00C5628A"/>
    <w:rsid w:val="00C562A6"/>
    <w:rsid w:val="00C563F7"/>
    <w:rsid w:val="00C5748A"/>
    <w:rsid w:val="00C60145"/>
    <w:rsid w:val="00C60751"/>
    <w:rsid w:val="00C61E22"/>
    <w:rsid w:val="00C630C0"/>
    <w:rsid w:val="00C6367F"/>
    <w:rsid w:val="00C640C3"/>
    <w:rsid w:val="00C64B36"/>
    <w:rsid w:val="00C65038"/>
    <w:rsid w:val="00C67BAB"/>
    <w:rsid w:val="00C712E5"/>
    <w:rsid w:val="00C71992"/>
    <w:rsid w:val="00C71E29"/>
    <w:rsid w:val="00C73FE9"/>
    <w:rsid w:val="00C74413"/>
    <w:rsid w:val="00C746D4"/>
    <w:rsid w:val="00C75003"/>
    <w:rsid w:val="00C75C7C"/>
    <w:rsid w:val="00C76193"/>
    <w:rsid w:val="00C76801"/>
    <w:rsid w:val="00C7790C"/>
    <w:rsid w:val="00C801E0"/>
    <w:rsid w:val="00C834A3"/>
    <w:rsid w:val="00C84530"/>
    <w:rsid w:val="00C84954"/>
    <w:rsid w:val="00C84BE2"/>
    <w:rsid w:val="00C90708"/>
    <w:rsid w:val="00C923FE"/>
    <w:rsid w:val="00C9278C"/>
    <w:rsid w:val="00C931C8"/>
    <w:rsid w:val="00C94520"/>
    <w:rsid w:val="00C95412"/>
    <w:rsid w:val="00C9656F"/>
    <w:rsid w:val="00C96EC5"/>
    <w:rsid w:val="00C97817"/>
    <w:rsid w:val="00C97818"/>
    <w:rsid w:val="00CA04D9"/>
    <w:rsid w:val="00CA1180"/>
    <w:rsid w:val="00CA17AF"/>
    <w:rsid w:val="00CA1C12"/>
    <w:rsid w:val="00CA20D9"/>
    <w:rsid w:val="00CA5DEE"/>
    <w:rsid w:val="00CA5FAF"/>
    <w:rsid w:val="00CA6458"/>
    <w:rsid w:val="00CA7B3D"/>
    <w:rsid w:val="00CB0C83"/>
    <w:rsid w:val="00CB124E"/>
    <w:rsid w:val="00CB1EF7"/>
    <w:rsid w:val="00CB2999"/>
    <w:rsid w:val="00CB553E"/>
    <w:rsid w:val="00CB7FFD"/>
    <w:rsid w:val="00CC04B3"/>
    <w:rsid w:val="00CC14CA"/>
    <w:rsid w:val="00CC2E16"/>
    <w:rsid w:val="00CC4ED8"/>
    <w:rsid w:val="00CC6442"/>
    <w:rsid w:val="00CD061A"/>
    <w:rsid w:val="00CD156A"/>
    <w:rsid w:val="00CD1D1B"/>
    <w:rsid w:val="00CD21F1"/>
    <w:rsid w:val="00CD4B2A"/>
    <w:rsid w:val="00CD520F"/>
    <w:rsid w:val="00CD70DB"/>
    <w:rsid w:val="00CD757C"/>
    <w:rsid w:val="00CE08F5"/>
    <w:rsid w:val="00CE0939"/>
    <w:rsid w:val="00CE0C98"/>
    <w:rsid w:val="00CE104C"/>
    <w:rsid w:val="00CE12AF"/>
    <w:rsid w:val="00CE41BF"/>
    <w:rsid w:val="00CE4C30"/>
    <w:rsid w:val="00CE4F0C"/>
    <w:rsid w:val="00CE5382"/>
    <w:rsid w:val="00CE7318"/>
    <w:rsid w:val="00CE7386"/>
    <w:rsid w:val="00CE78E3"/>
    <w:rsid w:val="00CE7E75"/>
    <w:rsid w:val="00CF3D40"/>
    <w:rsid w:val="00CF48A9"/>
    <w:rsid w:val="00CF563F"/>
    <w:rsid w:val="00CF6DA3"/>
    <w:rsid w:val="00CF7049"/>
    <w:rsid w:val="00D01FF3"/>
    <w:rsid w:val="00D06776"/>
    <w:rsid w:val="00D06EDF"/>
    <w:rsid w:val="00D0763B"/>
    <w:rsid w:val="00D106AC"/>
    <w:rsid w:val="00D10C99"/>
    <w:rsid w:val="00D11255"/>
    <w:rsid w:val="00D1258D"/>
    <w:rsid w:val="00D13CBA"/>
    <w:rsid w:val="00D1422E"/>
    <w:rsid w:val="00D14EBE"/>
    <w:rsid w:val="00D15777"/>
    <w:rsid w:val="00D15AAB"/>
    <w:rsid w:val="00D16559"/>
    <w:rsid w:val="00D17FE4"/>
    <w:rsid w:val="00D22C2A"/>
    <w:rsid w:val="00D23603"/>
    <w:rsid w:val="00D24BB9"/>
    <w:rsid w:val="00D24C70"/>
    <w:rsid w:val="00D24EDE"/>
    <w:rsid w:val="00D261F4"/>
    <w:rsid w:val="00D27151"/>
    <w:rsid w:val="00D27A1D"/>
    <w:rsid w:val="00D308C7"/>
    <w:rsid w:val="00D31915"/>
    <w:rsid w:val="00D31A5D"/>
    <w:rsid w:val="00D31A76"/>
    <w:rsid w:val="00D31D2E"/>
    <w:rsid w:val="00D3355A"/>
    <w:rsid w:val="00D33A69"/>
    <w:rsid w:val="00D351D7"/>
    <w:rsid w:val="00D361FE"/>
    <w:rsid w:val="00D42C7A"/>
    <w:rsid w:val="00D44185"/>
    <w:rsid w:val="00D44E39"/>
    <w:rsid w:val="00D46FC8"/>
    <w:rsid w:val="00D50328"/>
    <w:rsid w:val="00D50D29"/>
    <w:rsid w:val="00D51C8E"/>
    <w:rsid w:val="00D53AD2"/>
    <w:rsid w:val="00D5442E"/>
    <w:rsid w:val="00D544C0"/>
    <w:rsid w:val="00D56141"/>
    <w:rsid w:val="00D56377"/>
    <w:rsid w:val="00D56B6E"/>
    <w:rsid w:val="00D6028D"/>
    <w:rsid w:val="00D6265E"/>
    <w:rsid w:val="00D644EA"/>
    <w:rsid w:val="00D70141"/>
    <w:rsid w:val="00D70238"/>
    <w:rsid w:val="00D70786"/>
    <w:rsid w:val="00D72568"/>
    <w:rsid w:val="00D73123"/>
    <w:rsid w:val="00D733EA"/>
    <w:rsid w:val="00D73F85"/>
    <w:rsid w:val="00D744B5"/>
    <w:rsid w:val="00D74F0D"/>
    <w:rsid w:val="00D75AE1"/>
    <w:rsid w:val="00D7684D"/>
    <w:rsid w:val="00D76DF9"/>
    <w:rsid w:val="00D80621"/>
    <w:rsid w:val="00D81D96"/>
    <w:rsid w:val="00D84469"/>
    <w:rsid w:val="00D8637F"/>
    <w:rsid w:val="00D93D64"/>
    <w:rsid w:val="00D947B6"/>
    <w:rsid w:val="00D95B87"/>
    <w:rsid w:val="00D96AF5"/>
    <w:rsid w:val="00DA0FAD"/>
    <w:rsid w:val="00DA21A8"/>
    <w:rsid w:val="00DA33B5"/>
    <w:rsid w:val="00DA3D02"/>
    <w:rsid w:val="00DA4AD5"/>
    <w:rsid w:val="00DA4CCA"/>
    <w:rsid w:val="00DA5FD4"/>
    <w:rsid w:val="00DA643F"/>
    <w:rsid w:val="00DA6F00"/>
    <w:rsid w:val="00DB0D0E"/>
    <w:rsid w:val="00DB202E"/>
    <w:rsid w:val="00DB502A"/>
    <w:rsid w:val="00DB596D"/>
    <w:rsid w:val="00DB5A3E"/>
    <w:rsid w:val="00DB727B"/>
    <w:rsid w:val="00DB72DC"/>
    <w:rsid w:val="00DC0433"/>
    <w:rsid w:val="00DC0811"/>
    <w:rsid w:val="00DC14EB"/>
    <w:rsid w:val="00DC744A"/>
    <w:rsid w:val="00DD169F"/>
    <w:rsid w:val="00DD4E4D"/>
    <w:rsid w:val="00DD5709"/>
    <w:rsid w:val="00DD5B4B"/>
    <w:rsid w:val="00DD7491"/>
    <w:rsid w:val="00DE0336"/>
    <w:rsid w:val="00DE0CEE"/>
    <w:rsid w:val="00DE1EA1"/>
    <w:rsid w:val="00DE21C3"/>
    <w:rsid w:val="00DE277D"/>
    <w:rsid w:val="00DE3BFB"/>
    <w:rsid w:val="00DE41F0"/>
    <w:rsid w:val="00DE7D8C"/>
    <w:rsid w:val="00DF0BD5"/>
    <w:rsid w:val="00DF1E5F"/>
    <w:rsid w:val="00DF295A"/>
    <w:rsid w:val="00DF29EC"/>
    <w:rsid w:val="00DF3EA8"/>
    <w:rsid w:val="00DF4299"/>
    <w:rsid w:val="00DF5854"/>
    <w:rsid w:val="00DF5C3F"/>
    <w:rsid w:val="00DF69C6"/>
    <w:rsid w:val="00DF754B"/>
    <w:rsid w:val="00DF796B"/>
    <w:rsid w:val="00E02430"/>
    <w:rsid w:val="00E0266C"/>
    <w:rsid w:val="00E02C2A"/>
    <w:rsid w:val="00E03B88"/>
    <w:rsid w:val="00E03E7F"/>
    <w:rsid w:val="00E1011B"/>
    <w:rsid w:val="00E1064C"/>
    <w:rsid w:val="00E107CE"/>
    <w:rsid w:val="00E12A79"/>
    <w:rsid w:val="00E13298"/>
    <w:rsid w:val="00E134A5"/>
    <w:rsid w:val="00E1406E"/>
    <w:rsid w:val="00E1787A"/>
    <w:rsid w:val="00E17913"/>
    <w:rsid w:val="00E2091E"/>
    <w:rsid w:val="00E2239E"/>
    <w:rsid w:val="00E23B9A"/>
    <w:rsid w:val="00E25BCF"/>
    <w:rsid w:val="00E26462"/>
    <w:rsid w:val="00E30009"/>
    <w:rsid w:val="00E3243F"/>
    <w:rsid w:val="00E32663"/>
    <w:rsid w:val="00E33AB1"/>
    <w:rsid w:val="00E35B57"/>
    <w:rsid w:val="00E36A29"/>
    <w:rsid w:val="00E370B1"/>
    <w:rsid w:val="00E40214"/>
    <w:rsid w:val="00E42B38"/>
    <w:rsid w:val="00E43A15"/>
    <w:rsid w:val="00E43CFA"/>
    <w:rsid w:val="00E44670"/>
    <w:rsid w:val="00E46990"/>
    <w:rsid w:val="00E46AC3"/>
    <w:rsid w:val="00E511DD"/>
    <w:rsid w:val="00E514BD"/>
    <w:rsid w:val="00E5179B"/>
    <w:rsid w:val="00E5183E"/>
    <w:rsid w:val="00E52429"/>
    <w:rsid w:val="00E5358B"/>
    <w:rsid w:val="00E550A0"/>
    <w:rsid w:val="00E5633D"/>
    <w:rsid w:val="00E57FBD"/>
    <w:rsid w:val="00E6029F"/>
    <w:rsid w:val="00E60936"/>
    <w:rsid w:val="00E6127E"/>
    <w:rsid w:val="00E61D6F"/>
    <w:rsid w:val="00E64382"/>
    <w:rsid w:val="00E6569D"/>
    <w:rsid w:val="00E6614D"/>
    <w:rsid w:val="00E7012B"/>
    <w:rsid w:val="00E706F3"/>
    <w:rsid w:val="00E71CB3"/>
    <w:rsid w:val="00E730D3"/>
    <w:rsid w:val="00E736F2"/>
    <w:rsid w:val="00E73A06"/>
    <w:rsid w:val="00E73C57"/>
    <w:rsid w:val="00E741C1"/>
    <w:rsid w:val="00E759D3"/>
    <w:rsid w:val="00E75BD3"/>
    <w:rsid w:val="00E7640F"/>
    <w:rsid w:val="00E76CDB"/>
    <w:rsid w:val="00E80507"/>
    <w:rsid w:val="00E80F45"/>
    <w:rsid w:val="00E80F83"/>
    <w:rsid w:val="00E816D6"/>
    <w:rsid w:val="00E83483"/>
    <w:rsid w:val="00E934DB"/>
    <w:rsid w:val="00E9575B"/>
    <w:rsid w:val="00E95E92"/>
    <w:rsid w:val="00E95F1E"/>
    <w:rsid w:val="00E973A0"/>
    <w:rsid w:val="00EA0ADF"/>
    <w:rsid w:val="00EA0D35"/>
    <w:rsid w:val="00EA18E7"/>
    <w:rsid w:val="00EA1AD9"/>
    <w:rsid w:val="00EA38CF"/>
    <w:rsid w:val="00EA3AB4"/>
    <w:rsid w:val="00EA3E51"/>
    <w:rsid w:val="00EA4897"/>
    <w:rsid w:val="00EA5206"/>
    <w:rsid w:val="00EA5A46"/>
    <w:rsid w:val="00EA6AAE"/>
    <w:rsid w:val="00EA6F74"/>
    <w:rsid w:val="00EA769F"/>
    <w:rsid w:val="00EB05DB"/>
    <w:rsid w:val="00EB1C3E"/>
    <w:rsid w:val="00EB297F"/>
    <w:rsid w:val="00EB299D"/>
    <w:rsid w:val="00EB2D14"/>
    <w:rsid w:val="00EB3C99"/>
    <w:rsid w:val="00EB42A0"/>
    <w:rsid w:val="00EB4349"/>
    <w:rsid w:val="00EB4956"/>
    <w:rsid w:val="00EB4F45"/>
    <w:rsid w:val="00EB597F"/>
    <w:rsid w:val="00EB63C2"/>
    <w:rsid w:val="00EB6AB0"/>
    <w:rsid w:val="00EB6C80"/>
    <w:rsid w:val="00EC0109"/>
    <w:rsid w:val="00EC0A5B"/>
    <w:rsid w:val="00EC1667"/>
    <w:rsid w:val="00EC34BE"/>
    <w:rsid w:val="00EC3521"/>
    <w:rsid w:val="00EC35CB"/>
    <w:rsid w:val="00EC43BF"/>
    <w:rsid w:val="00EC465F"/>
    <w:rsid w:val="00EC4A0F"/>
    <w:rsid w:val="00EC6BFB"/>
    <w:rsid w:val="00EC7455"/>
    <w:rsid w:val="00EC7BDB"/>
    <w:rsid w:val="00ED01C7"/>
    <w:rsid w:val="00ED041E"/>
    <w:rsid w:val="00ED1FB2"/>
    <w:rsid w:val="00ED2E6C"/>
    <w:rsid w:val="00ED3944"/>
    <w:rsid w:val="00ED544D"/>
    <w:rsid w:val="00ED6CE7"/>
    <w:rsid w:val="00EE0F37"/>
    <w:rsid w:val="00EE29E1"/>
    <w:rsid w:val="00EE3C56"/>
    <w:rsid w:val="00EE448E"/>
    <w:rsid w:val="00EE523B"/>
    <w:rsid w:val="00EE5C28"/>
    <w:rsid w:val="00EE733F"/>
    <w:rsid w:val="00EF1444"/>
    <w:rsid w:val="00EF1C29"/>
    <w:rsid w:val="00EF2C49"/>
    <w:rsid w:val="00EF3C87"/>
    <w:rsid w:val="00EF4378"/>
    <w:rsid w:val="00EF5204"/>
    <w:rsid w:val="00EF5550"/>
    <w:rsid w:val="00EF65FF"/>
    <w:rsid w:val="00EF70E9"/>
    <w:rsid w:val="00EF736D"/>
    <w:rsid w:val="00EF7CD6"/>
    <w:rsid w:val="00F0088A"/>
    <w:rsid w:val="00F02D38"/>
    <w:rsid w:val="00F0343B"/>
    <w:rsid w:val="00F04C76"/>
    <w:rsid w:val="00F06DCD"/>
    <w:rsid w:val="00F070D5"/>
    <w:rsid w:val="00F100C6"/>
    <w:rsid w:val="00F11287"/>
    <w:rsid w:val="00F11E5D"/>
    <w:rsid w:val="00F12B7E"/>
    <w:rsid w:val="00F14EEF"/>
    <w:rsid w:val="00F16EBB"/>
    <w:rsid w:val="00F20120"/>
    <w:rsid w:val="00F216DE"/>
    <w:rsid w:val="00F2333C"/>
    <w:rsid w:val="00F23AFF"/>
    <w:rsid w:val="00F24342"/>
    <w:rsid w:val="00F249E6"/>
    <w:rsid w:val="00F26BEC"/>
    <w:rsid w:val="00F3228F"/>
    <w:rsid w:val="00F32FFF"/>
    <w:rsid w:val="00F33D35"/>
    <w:rsid w:val="00F345D3"/>
    <w:rsid w:val="00F35940"/>
    <w:rsid w:val="00F375F1"/>
    <w:rsid w:val="00F37D98"/>
    <w:rsid w:val="00F37E41"/>
    <w:rsid w:val="00F41A40"/>
    <w:rsid w:val="00F41FB9"/>
    <w:rsid w:val="00F427F3"/>
    <w:rsid w:val="00F42B33"/>
    <w:rsid w:val="00F4449C"/>
    <w:rsid w:val="00F4751C"/>
    <w:rsid w:val="00F50E09"/>
    <w:rsid w:val="00F50E4E"/>
    <w:rsid w:val="00F55E8E"/>
    <w:rsid w:val="00F56DD8"/>
    <w:rsid w:val="00F600A8"/>
    <w:rsid w:val="00F61B47"/>
    <w:rsid w:val="00F63198"/>
    <w:rsid w:val="00F63FA4"/>
    <w:rsid w:val="00F64246"/>
    <w:rsid w:val="00F65365"/>
    <w:rsid w:val="00F65544"/>
    <w:rsid w:val="00F66D8B"/>
    <w:rsid w:val="00F67B90"/>
    <w:rsid w:val="00F70B52"/>
    <w:rsid w:val="00F7152D"/>
    <w:rsid w:val="00F77BFA"/>
    <w:rsid w:val="00F801D6"/>
    <w:rsid w:val="00F83BC7"/>
    <w:rsid w:val="00F83C47"/>
    <w:rsid w:val="00F843F0"/>
    <w:rsid w:val="00F857A8"/>
    <w:rsid w:val="00F85DE4"/>
    <w:rsid w:val="00F85F3E"/>
    <w:rsid w:val="00F910D3"/>
    <w:rsid w:val="00F91E68"/>
    <w:rsid w:val="00F91F21"/>
    <w:rsid w:val="00F9255A"/>
    <w:rsid w:val="00F92C59"/>
    <w:rsid w:val="00F93DFA"/>
    <w:rsid w:val="00F9536D"/>
    <w:rsid w:val="00F9572F"/>
    <w:rsid w:val="00F96192"/>
    <w:rsid w:val="00FA1699"/>
    <w:rsid w:val="00FA323F"/>
    <w:rsid w:val="00FA35AB"/>
    <w:rsid w:val="00FA36EA"/>
    <w:rsid w:val="00FA3CE8"/>
    <w:rsid w:val="00FA3F22"/>
    <w:rsid w:val="00FA40AA"/>
    <w:rsid w:val="00FA45E0"/>
    <w:rsid w:val="00FA4A1E"/>
    <w:rsid w:val="00FA4C1B"/>
    <w:rsid w:val="00FB00C8"/>
    <w:rsid w:val="00FB0D64"/>
    <w:rsid w:val="00FB21BA"/>
    <w:rsid w:val="00FB32A2"/>
    <w:rsid w:val="00FB3840"/>
    <w:rsid w:val="00FB3C20"/>
    <w:rsid w:val="00FB4202"/>
    <w:rsid w:val="00FB5176"/>
    <w:rsid w:val="00FB616C"/>
    <w:rsid w:val="00FB622F"/>
    <w:rsid w:val="00FC0E52"/>
    <w:rsid w:val="00FC0F2B"/>
    <w:rsid w:val="00FC3076"/>
    <w:rsid w:val="00FC3129"/>
    <w:rsid w:val="00FC50FA"/>
    <w:rsid w:val="00FC66AC"/>
    <w:rsid w:val="00FC6E40"/>
    <w:rsid w:val="00FD5C36"/>
    <w:rsid w:val="00FD610F"/>
    <w:rsid w:val="00FD68BC"/>
    <w:rsid w:val="00FD7F9F"/>
    <w:rsid w:val="00FE1DFC"/>
    <w:rsid w:val="00FE31FC"/>
    <w:rsid w:val="00FE3686"/>
    <w:rsid w:val="00FE38FA"/>
    <w:rsid w:val="00FE3F82"/>
    <w:rsid w:val="00FE5180"/>
    <w:rsid w:val="00FE54C8"/>
    <w:rsid w:val="00FE57BD"/>
    <w:rsid w:val="00FE5DAB"/>
    <w:rsid w:val="00FE7ABA"/>
    <w:rsid w:val="00FE7EE4"/>
    <w:rsid w:val="00FF1C2D"/>
    <w:rsid w:val="00FF3BF0"/>
    <w:rsid w:val="00FF67F8"/>
    <w:rsid w:val="00FF7962"/>
    <w:rsid w:val="00FF7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743B"/>
  <w15:chartTrackingRefBased/>
  <w15:docId w15:val="{0EC22BBF-AE91-4824-A198-CD702A8E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4F3"/>
  </w:style>
  <w:style w:type="paragraph" w:styleId="Nadpis1">
    <w:name w:val="heading 1"/>
    <w:basedOn w:val="Normln"/>
    <w:next w:val="Normln"/>
    <w:link w:val="Nadpis1Char"/>
    <w:qFormat/>
    <w:rsid w:val="00A006E7"/>
    <w:pPr>
      <w:keepNext/>
      <w:keepLines/>
      <w:suppressAutoHyphens/>
      <w:overflowPunct w:val="0"/>
      <w:autoSpaceDE w:val="0"/>
      <w:autoSpaceDN w:val="0"/>
      <w:adjustRightInd w:val="0"/>
      <w:spacing w:before="480" w:after="240" w:line="240" w:lineRule="auto"/>
      <w:textAlignment w:val="baseline"/>
      <w:outlineLvl w:val="0"/>
    </w:pPr>
    <w:rPr>
      <w:rFonts w:ascii="Arial Narrow" w:eastAsia="Times New Roman" w:hAnsi="Arial Narrow" w:cs="Times New Roman"/>
      <w:b/>
      <w:kern w:val="36"/>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Heading 2_sj,Indicator Text,List Paragraph (Czech Tourism),List Paragraph Char Char Char,List Paragraph1,Nad,No Spacing1,Numbered Para 1,Odrážky,Odstavec cíl se seznamem,Odstavec se seznamem5,Odstavec_muj,Report Para,2,Nad1"/>
    <w:basedOn w:val="Normln"/>
    <w:link w:val="OdstavecseseznamemChar"/>
    <w:uiPriority w:val="34"/>
    <w:qFormat/>
    <w:rsid w:val="00742A7E"/>
    <w:pPr>
      <w:ind w:left="720"/>
      <w:contextualSpacing/>
    </w:pPr>
  </w:style>
  <w:style w:type="paragraph" w:styleId="Textpoznpodarou">
    <w:name w:val="footnote text"/>
    <w:aliases w:val=" Char Char,Boston 10,Char,Char Char,Char Char Char1,Char1,Font: Geneva 9,Fußnotentextf,Geneva 9,Podrozdzia3,Podrozdział,Schriftart: 10 pt,Schriftart: 8 pt,Schriftart: 9 pt,Text pozn. pod čarou1,Text poznámky pod čiarou 007,f,fn,ft,o"/>
    <w:basedOn w:val="Normln"/>
    <w:link w:val="TextpoznpodarouChar"/>
    <w:uiPriority w:val="99"/>
    <w:unhideWhenUsed/>
    <w:qFormat/>
    <w:rsid w:val="00742A7E"/>
    <w:pPr>
      <w:spacing w:after="0" w:line="240" w:lineRule="auto"/>
    </w:pPr>
    <w:rPr>
      <w:sz w:val="20"/>
      <w:szCs w:val="20"/>
    </w:rPr>
  </w:style>
  <w:style w:type="character" w:customStyle="1" w:styleId="TextpoznpodarouChar">
    <w:name w:val="Text pozn. pod čarou Char"/>
    <w:aliases w:val=" Char Char Char,Boston 10 Char,Char Char1,Char Char Char,Char Char Char1 Char,Char1 Char,Font: Geneva 9 Char,Fußnotentextf Char,Geneva 9 Char,Podrozdzia3 Char,Podrozdział Char,Schriftart: 10 pt Char,Schriftart: 8 pt Char,f Char"/>
    <w:basedOn w:val="Standardnpsmoodstavce"/>
    <w:link w:val="Textpoznpodarou"/>
    <w:uiPriority w:val="99"/>
    <w:rsid w:val="00742A7E"/>
    <w:rPr>
      <w:sz w:val="20"/>
      <w:szCs w:val="20"/>
    </w:rPr>
  </w:style>
  <w:style w:type="character" w:styleId="Znakapoznpodarou">
    <w:name w:val="footnote reference"/>
    <w:aliases w:val="12 b.,Footnote,Footnote call,PGI Fußnote Ziffer,PGI Fußnote Ziffer + Times New Roman,Zúžené o ...,Appel note de bas de p,Appel note de bas de page,BVI fnr,Char Car Car Car Car,Footnote Reference Superscript,Footnote symbol,Légende"/>
    <w:basedOn w:val="Standardnpsmoodstavce"/>
    <w:uiPriority w:val="99"/>
    <w:unhideWhenUsed/>
    <w:qFormat/>
    <w:rsid w:val="00742A7E"/>
    <w:rPr>
      <w:vertAlign w:val="superscript"/>
    </w:rPr>
  </w:style>
  <w:style w:type="paragraph" w:customStyle="1" w:styleId="Default">
    <w:name w:val="Default"/>
    <w:rsid w:val="00CE4F0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Nadpis1Char">
    <w:name w:val="Nadpis 1 Char"/>
    <w:basedOn w:val="Standardnpsmoodstavce"/>
    <w:link w:val="Nadpis1"/>
    <w:rsid w:val="00A006E7"/>
    <w:rPr>
      <w:rFonts w:ascii="Arial Narrow" w:eastAsia="Times New Roman" w:hAnsi="Arial Narrow" w:cs="Times New Roman"/>
      <w:b/>
      <w:kern w:val="36"/>
      <w:sz w:val="36"/>
      <w:szCs w:val="20"/>
      <w:lang w:eastAsia="cs-CZ"/>
    </w:rPr>
  </w:style>
  <w:style w:type="paragraph" w:styleId="Zhlav">
    <w:name w:val="header"/>
    <w:basedOn w:val="Normln"/>
    <w:link w:val="ZhlavChar"/>
    <w:uiPriority w:val="99"/>
    <w:unhideWhenUsed/>
    <w:rsid w:val="00A006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06E7"/>
  </w:style>
  <w:style w:type="paragraph" w:customStyle="1" w:styleId="poznmkapodarou">
    <w:name w:val="poznámka pod čarou"/>
    <w:basedOn w:val="Normln"/>
    <w:uiPriority w:val="99"/>
    <w:rsid w:val="00A006E7"/>
    <w:pPr>
      <w:spacing w:after="0" w:line="240" w:lineRule="auto"/>
      <w:ind w:left="284" w:hanging="284"/>
      <w:contextualSpacing/>
      <w:jc w:val="both"/>
    </w:pPr>
    <w:rPr>
      <w:rFonts w:ascii="Arial" w:eastAsia="Times New Roman" w:hAnsi="Arial" w:cs="Arial"/>
      <w:sz w:val="20"/>
      <w:szCs w:val="20"/>
    </w:rPr>
  </w:style>
  <w:style w:type="paragraph" w:styleId="Titulek">
    <w:name w:val="caption"/>
    <w:basedOn w:val="Normln"/>
    <w:next w:val="Normln"/>
    <w:uiPriority w:val="35"/>
    <w:unhideWhenUsed/>
    <w:qFormat/>
    <w:rsid w:val="001F610F"/>
    <w:pPr>
      <w:spacing w:after="200" w:line="240" w:lineRule="auto"/>
    </w:pPr>
    <w:rPr>
      <w:rFonts w:ascii="Times New Roman" w:eastAsia="Times New Roman" w:hAnsi="Times New Roman" w:cs="Times New Roman"/>
      <w:i/>
      <w:iCs/>
      <w:color w:val="44546A" w:themeColor="text2"/>
      <w:sz w:val="18"/>
      <w:szCs w:val="18"/>
    </w:rPr>
  </w:style>
  <w:style w:type="character" w:customStyle="1" w:styleId="OdstavecseseznamemChar">
    <w:name w:val="Odstavec se seznamem Char"/>
    <w:aliases w:val="Dot pt Char,Heading 2_sj Char,Indicator Text Char,List Paragraph (Czech Tourism) Char,List Paragraph Char Char Char Char,List Paragraph1 Char,Nad Char,No Spacing1 Char,Numbered Para 1 Char,Odrážky Char,Odstavec_muj Char,2 Char"/>
    <w:link w:val="Odstavecseseznamem"/>
    <w:uiPriority w:val="34"/>
    <w:qFormat/>
    <w:rsid w:val="00500B37"/>
  </w:style>
  <w:style w:type="character" w:styleId="Siln">
    <w:name w:val="Strong"/>
    <w:basedOn w:val="Standardnpsmoodstavce"/>
    <w:uiPriority w:val="22"/>
    <w:qFormat/>
    <w:rsid w:val="0010454B"/>
    <w:rPr>
      <w:b/>
      <w:bCs/>
    </w:rPr>
  </w:style>
  <w:style w:type="character" w:styleId="Odkaznakoment">
    <w:name w:val="annotation reference"/>
    <w:basedOn w:val="Standardnpsmoodstavce"/>
    <w:uiPriority w:val="99"/>
    <w:semiHidden/>
    <w:unhideWhenUsed/>
    <w:rsid w:val="00D96AF5"/>
    <w:rPr>
      <w:sz w:val="16"/>
      <w:szCs w:val="16"/>
    </w:rPr>
  </w:style>
  <w:style w:type="paragraph" w:styleId="Textkomente">
    <w:name w:val="annotation text"/>
    <w:basedOn w:val="Normln"/>
    <w:link w:val="TextkomenteChar"/>
    <w:uiPriority w:val="99"/>
    <w:unhideWhenUsed/>
    <w:rsid w:val="00D96AF5"/>
    <w:pPr>
      <w:spacing w:line="240" w:lineRule="auto"/>
    </w:pPr>
    <w:rPr>
      <w:sz w:val="20"/>
      <w:szCs w:val="20"/>
    </w:rPr>
  </w:style>
  <w:style w:type="character" w:customStyle="1" w:styleId="TextkomenteChar">
    <w:name w:val="Text komentáře Char"/>
    <w:basedOn w:val="Standardnpsmoodstavce"/>
    <w:link w:val="Textkomente"/>
    <w:uiPriority w:val="99"/>
    <w:rsid w:val="00D96AF5"/>
    <w:rPr>
      <w:sz w:val="20"/>
      <w:szCs w:val="20"/>
    </w:rPr>
  </w:style>
  <w:style w:type="paragraph" w:styleId="Textbubliny">
    <w:name w:val="Balloon Text"/>
    <w:basedOn w:val="Normln"/>
    <w:link w:val="TextbublinyChar"/>
    <w:uiPriority w:val="99"/>
    <w:semiHidden/>
    <w:unhideWhenUsed/>
    <w:rsid w:val="00D96A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AF5"/>
    <w:rPr>
      <w:rFonts w:ascii="Segoe UI" w:hAnsi="Segoe UI" w:cs="Segoe UI"/>
      <w:sz w:val="18"/>
      <w:szCs w:val="18"/>
    </w:rPr>
  </w:style>
  <w:style w:type="character" w:styleId="Hypertextovodkaz">
    <w:name w:val="Hyperlink"/>
    <w:basedOn w:val="Standardnpsmoodstavce"/>
    <w:uiPriority w:val="99"/>
    <w:unhideWhenUsed/>
    <w:rsid w:val="007C7C96"/>
    <w:rPr>
      <w:color w:val="0563C1" w:themeColor="hyperlink"/>
      <w:u w:val="single"/>
    </w:rPr>
  </w:style>
  <w:style w:type="character" w:customStyle="1" w:styleId="normaltextrun">
    <w:name w:val="normaltextrun"/>
    <w:rsid w:val="00A418F3"/>
  </w:style>
  <w:style w:type="character" w:customStyle="1" w:styleId="Zkladntext">
    <w:name w:val="Základní text_"/>
    <w:basedOn w:val="Standardnpsmoodstavce"/>
    <w:link w:val="Zkladntext1"/>
    <w:rsid w:val="00DA5FD4"/>
    <w:rPr>
      <w:rFonts w:ascii="Calibri" w:eastAsia="Calibri" w:hAnsi="Calibri" w:cs="Calibri"/>
      <w:shd w:val="clear" w:color="auto" w:fill="FFFFFF"/>
    </w:rPr>
  </w:style>
  <w:style w:type="paragraph" w:customStyle="1" w:styleId="Zkladntext1">
    <w:name w:val="Základní text1"/>
    <w:basedOn w:val="Normln"/>
    <w:link w:val="Zkladntext"/>
    <w:rsid w:val="00DA5FD4"/>
    <w:pPr>
      <w:widowControl w:val="0"/>
      <w:shd w:val="clear" w:color="auto" w:fill="FFFFFF"/>
      <w:spacing w:after="300" w:line="271" w:lineRule="auto"/>
      <w:jc w:val="both"/>
    </w:pPr>
    <w:rPr>
      <w:rFonts w:ascii="Calibri" w:eastAsia="Calibri" w:hAnsi="Calibri" w:cs="Calibri"/>
    </w:rPr>
  </w:style>
  <w:style w:type="paragraph" w:customStyle="1" w:styleId="KPnormalni">
    <w:name w:val="KP_normalni"/>
    <w:basedOn w:val="Normln"/>
    <w:qFormat/>
    <w:rsid w:val="006308DD"/>
    <w:pPr>
      <w:spacing w:after="0" w:line="240" w:lineRule="auto"/>
      <w:jc w:val="both"/>
    </w:pPr>
    <w:rPr>
      <w:rFonts w:ascii="Calibri" w:hAnsi="Calibri" w:cs="Calibri"/>
      <w:sz w:val="24"/>
      <w:szCs w:val="24"/>
    </w:rPr>
  </w:style>
  <w:style w:type="paragraph" w:styleId="Bezmezer">
    <w:name w:val="No Spacing"/>
    <w:uiPriority w:val="1"/>
    <w:qFormat/>
    <w:rsid w:val="006308DD"/>
    <w:pPr>
      <w:widowControl w:val="0"/>
      <w:spacing w:after="0" w:line="240" w:lineRule="auto"/>
    </w:pPr>
    <w:rPr>
      <w:rFonts w:ascii="Courier New" w:eastAsia="Courier New" w:hAnsi="Courier New" w:cs="Courier New"/>
      <w:color w:val="000000"/>
      <w:sz w:val="24"/>
      <w:szCs w:val="24"/>
      <w:lang w:eastAsia="cs-CZ" w:bidi="cs-CZ"/>
    </w:rPr>
  </w:style>
  <w:style w:type="character" w:customStyle="1" w:styleId="A4">
    <w:name w:val="A4"/>
    <w:uiPriority w:val="99"/>
    <w:rsid w:val="006308DD"/>
    <w:rPr>
      <w:color w:val="000000"/>
      <w:sz w:val="60"/>
      <w:szCs w:val="60"/>
    </w:rPr>
  </w:style>
  <w:style w:type="paragraph" w:styleId="Zpat">
    <w:name w:val="footer"/>
    <w:basedOn w:val="Normln"/>
    <w:link w:val="ZpatChar"/>
    <w:uiPriority w:val="99"/>
    <w:unhideWhenUsed/>
    <w:rsid w:val="00191FA0"/>
    <w:pPr>
      <w:tabs>
        <w:tab w:val="center" w:pos="4536"/>
        <w:tab w:val="right" w:pos="9072"/>
      </w:tabs>
      <w:spacing w:after="0" w:line="240" w:lineRule="auto"/>
    </w:pPr>
  </w:style>
  <w:style w:type="character" w:customStyle="1" w:styleId="ZpatChar">
    <w:name w:val="Zápatí Char"/>
    <w:basedOn w:val="Standardnpsmoodstavce"/>
    <w:link w:val="Zpat"/>
    <w:uiPriority w:val="99"/>
    <w:rsid w:val="00191FA0"/>
  </w:style>
  <w:style w:type="table" w:customStyle="1" w:styleId="TableGrid">
    <w:name w:val="TableGrid"/>
    <w:rsid w:val="0030176A"/>
    <w:pPr>
      <w:spacing w:after="0" w:line="240" w:lineRule="auto"/>
    </w:pPr>
    <w:rPr>
      <w:rFonts w:eastAsiaTheme="minorEastAsia"/>
      <w:lang w:eastAsia="cs-CZ"/>
    </w:rPr>
    <w:tblPr>
      <w:tblCellMar>
        <w:top w:w="0" w:type="dxa"/>
        <w:left w:w="0" w:type="dxa"/>
        <w:bottom w:w="0" w:type="dxa"/>
        <w:right w:w="0" w:type="dxa"/>
      </w:tblCellMar>
    </w:tblPr>
  </w:style>
  <w:style w:type="character" w:styleId="Sledovanodkaz">
    <w:name w:val="FollowedHyperlink"/>
    <w:basedOn w:val="Standardnpsmoodstavce"/>
    <w:uiPriority w:val="99"/>
    <w:semiHidden/>
    <w:unhideWhenUsed/>
    <w:rsid w:val="00C5748A"/>
    <w:rPr>
      <w:color w:val="954F72" w:themeColor="followedHyperlink"/>
      <w:u w:val="single"/>
    </w:rPr>
  </w:style>
  <w:style w:type="paragraph" w:styleId="Pedmtkomente">
    <w:name w:val="annotation subject"/>
    <w:basedOn w:val="Textkomente"/>
    <w:next w:val="Textkomente"/>
    <w:link w:val="PedmtkomenteChar"/>
    <w:uiPriority w:val="99"/>
    <w:semiHidden/>
    <w:unhideWhenUsed/>
    <w:rsid w:val="006F296F"/>
    <w:rPr>
      <w:b/>
      <w:bCs/>
    </w:rPr>
  </w:style>
  <w:style w:type="character" w:customStyle="1" w:styleId="PedmtkomenteChar">
    <w:name w:val="Předmět komentáře Char"/>
    <w:basedOn w:val="TextkomenteChar"/>
    <w:link w:val="Pedmtkomente"/>
    <w:uiPriority w:val="99"/>
    <w:semiHidden/>
    <w:rsid w:val="006F296F"/>
    <w:rPr>
      <w:b/>
      <w:bCs/>
      <w:sz w:val="20"/>
      <w:szCs w:val="20"/>
    </w:rPr>
  </w:style>
  <w:style w:type="paragraph" w:styleId="Revize">
    <w:name w:val="Revision"/>
    <w:hidden/>
    <w:uiPriority w:val="99"/>
    <w:semiHidden/>
    <w:rsid w:val="001F5620"/>
    <w:pPr>
      <w:spacing w:after="0" w:line="240" w:lineRule="auto"/>
    </w:pPr>
  </w:style>
  <w:style w:type="table" w:styleId="Mkatabulky">
    <w:name w:val="Table Grid"/>
    <w:basedOn w:val="Normlntabulka"/>
    <w:uiPriority w:val="39"/>
    <w:rsid w:val="00B4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Nzevmaterilu">
    <w:name w:val="Styl1 - Název materiálu"/>
    <w:basedOn w:val="Normln"/>
    <w:link w:val="Styl1-NzevmateriluChar"/>
    <w:qFormat/>
    <w:rsid w:val="00612CE6"/>
    <w:pPr>
      <w:overflowPunct w:val="0"/>
      <w:autoSpaceDE w:val="0"/>
      <w:autoSpaceDN w:val="0"/>
      <w:adjustRightInd w:val="0"/>
      <w:spacing w:after="0" w:line="240" w:lineRule="auto"/>
      <w:jc w:val="center"/>
      <w:textAlignment w:val="baseline"/>
    </w:pPr>
    <w:rPr>
      <w:rFonts w:ascii="Arial" w:eastAsia="Times New Roman" w:hAnsi="Arial" w:cs="Arial"/>
      <w:b/>
      <w:noProof/>
      <w:szCs w:val="24"/>
      <w:lang w:eastAsia="cs-CZ"/>
    </w:rPr>
  </w:style>
  <w:style w:type="character" w:customStyle="1" w:styleId="Styl1-NzevmateriluChar">
    <w:name w:val="Styl1 - Název materiálu Char"/>
    <w:link w:val="Styl1-Nzevmaterilu"/>
    <w:rsid w:val="00612CE6"/>
    <w:rPr>
      <w:rFonts w:ascii="Arial" w:eastAsia="Times New Roman" w:hAnsi="Arial" w:cs="Arial"/>
      <w:b/>
      <w:noProof/>
      <w:szCs w:val="24"/>
      <w:lang w:eastAsia="cs-CZ"/>
    </w:rPr>
  </w:style>
  <w:style w:type="character" w:styleId="Nevyeenzmnka">
    <w:name w:val="Unresolved Mention"/>
    <w:basedOn w:val="Standardnpsmoodstavce"/>
    <w:uiPriority w:val="99"/>
    <w:semiHidden/>
    <w:unhideWhenUsed/>
    <w:rsid w:val="00DF29EC"/>
    <w:rPr>
      <w:color w:val="605E5C"/>
      <w:shd w:val="clear" w:color="auto" w:fill="E1DFDD"/>
    </w:rPr>
  </w:style>
  <w:style w:type="paragraph" w:customStyle="1" w:styleId="NormlnKZ">
    <w:name w:val="Normální KZ"/>
    <w:basedOn w:val="Normln"/>
    <w:rsid w:val="00D7684D"/>
    <w:pPr>
      <w:spacing w:after="120" w:line="240" w:lineRule="auto"/>
      <w:ind w:firstLine="425"/>
      <w:jc w:val="both"/>
    </w:pPr>
    <w:rPr>
      <w:rFonts w:ascii="Calibri Light" w:eastAsia="Times New Roman" w:hAnsi="Calibri Light" w:cs="Times New Roman"/>
      <w:color w:val="000000" w:themeColor="text1"/>
      <w:sz w:val="24"/>
      <w:szCs w:val="24"/>
      <w:lang w:eastAsia="cs-CZ"/>
    </w:rPr>
  </w:style>
  <w:style w:type="paragraph" w:customStyle="1" w:styleId="Pa18">
    <w:name w:val="Pa18"/>
    <w:basedOn w:val="Normln"/>
    <w:next w:val="Normln"/>
    <w:uiPriority w:val="99"/>
    <w:rsid w:val="00D7684D"/>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D7684D"/>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D7684D"/>
    <w:rPr>
      <w:b/>
      <w:bCs w:val="0"/>
      <w:color w:val="000000"/>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579906">
      <w:bodyDiv w:val="1"/>
      <w:marLeft w:val="0"/>
      <w:marRight w:val="0"/>
      <w:marTop w:val="0"/>
      <w:marBottom w:val="0"/>
      <w:divBdr>
        <w:top w:val="none" w:sz="0" w:space="0" w:color="auto"/>
        <w:left w:val="none" w:sz="0" w:space="0" w:color="auto"/>
        <w:bottom w:val="none" w:sz="0" w:space="0" w:color="auto"/>
        <w:right w:val="none" w:sz="0" w:space="0" w:color="auto"/>
      </w:divBdr>
      <w:divsChild>
        <w:div w:id="1312707884">
          <w:marLeft w:val="624"/>
          <w:marRight w:val="0"/>
          <w:marTop w:val="0"/>
          <w:marBottom w:val="0"/>
          <w:divBdr>
            <w:top w:val="none" w:sz="0" w:space="0" w:color="auto"/>
            <w:left w:val="none" w:sz="0" w:space="0" w:color="auto"/>
            <w:bottom w:val="none" w:sz="0" w:space="0" w:color="auto"/>
            <w:right w:val="none" w:sz="0" w:space="0" w:color="auto"/>
          </w:divBdr>
        </w:div>
        <w:div w:id="412511642">
          <w:marLeft w:val="624"/>
          <w:marRight w:val="0"/>
          <w:marTop w:val="0"/>
          <w:marBottom w:val="0"/>
          <w:divBdr>
            <w:top w:val="none" w:sz="0" w:space="0" w:color="auto"/>
            <w:left w:val="none" w:sz="0" w:space="0" w:color="auto"/>
            <w:bottom w:val="none" w:sz="0" w:space="0" w:color="auto"/>
            <w:right w:val="none" w:sz="0" w:space="0" w:color="auto"/>
          </w:divBdr>
        </w:div>
        <w:div w:id="1456217630">
          <w:marLeft w:val="624"/>
          <w:marRight w:val="0"/>
          <w:marTop w:val="0"/>
          <w:marBottom w:val="0"/>
          <w:divBdr>
            <w:top w:val="none" w:sz="0" w:space="0" w:color="auto"/>
            <w:left w:val="none" w:sz="0" w:space="0" w:color="auto"/>
            <w:bottom w:val="none" w:sz="0" w:space="0" w:color="auto"/>
            <w:right w:val="none" w:sz="0" w:space="0" w:color="auto"/>
          </w:divBdr>
        </w:div>
      </w:divsChild>
    </w:div>
    <w:div w:id="1886519933">
      <w:bodyDiv w:val="1"/>
      <w:marLeft w:val="0"/>
      <w:marRight w:val="0"/>
      <w:marTop w:val="0"/>
      <w:marBottom w:val="0"/>
      <w:divBdr>
        <w:top w:val="none" w:sz="0" w:space="0" w:color="auto"/>
        <w:left w:val="none" w:sz="0" w:space="0" w:color="auto"/>
        <w:bottom w:val="none" w:sz="0" w:space="0" w:color="auto"/>
        <w:right w:val="none" w:sz="0" w:space="0" w:color="auto"/>
      </w:divBdr>
      <w:divsChild>
        <w:div w:id="675575877">
          <w:marLeft w:val="0"/>
          <w:marRight w:val="0"/>
          <w:marTop w:val="0"/>
          <w:marBottom w:val="24"/>
          <w:divBdr>
            <w:top w:val="none" w:sz="0" w:space="0" w:color="auto"/>
            <w:left w:val="none" w:sz="0" w:space="0" w:color="auto"/>
            <w:bottom w:val="none" w:sz="0" w:space="0" w:color="auto"/>
            <w:right w:val="none" w:sz="0" w:space="0" w:color="auto"/>
          </w:divBdr>
        </w:div>
        <w:div w:id="208297860">
          <w:marLeft w:val="0"/>
          <w:marRight w:val="0"/>
          <w:marTop w:val="0"/>
          <w:marBottom w:val="24"/>
          <w:divBdr>
            <w:top w:val="none" w:sz="0" w:space="0" w:color="auto"/>
            <w:left w:val="none" w:sz="0" w:space="0" w:color="auto"/>
            <w:bottom w:val="none" w:sz="0" w:space="0" w:color="auto"/>
            <w:right w:val="none" w:sz="0" w:space="0" w:color="auto"/>
          </w:divBdr>
        </w:div>
        <w:div w:id="1926576393">
          <w:marLeft w:val="0"/>
          <w:marRight w:val="0"/>
          <w:marTop w:val="96"/>
          <w:marBottom w:val="96"/>
          <w:divBdr>
            <w:top w:val="none" w:sz="0" w:space="0" w:color="auto"/>
            <w:left w:val="none" w:sz="0" w:space="0" w:color="auto"/>
            <w:bottom w:val="none" w:sz="0" w:space="0" w:color="auto"/>
            <w:right w:val="none" w:sz="0" w:space="0" w:color="auto"/>
          </w:divBdr>
        </w:div>
        <w:div w:id="566261227">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pi.cz/products/lawText/1/98286/1/ASPI%253A/13/1997%20Sb.%2523" TargetMode="External"/><Relationship Id="rId4" Type="http://schemas.openxmlformats.org/officeDocument/2006/relationships/settings" Target="settings.xml"/><Relationship Id="rId9" Type="http://schemas.openxmlformats.org/officeDocument/2006/relationships/hyperlink" Target="https://www.aspi.cz/products/lawText/1/98286/1/ASPI%253A/104/1997%20Sb.%25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spi.cz/products/lawText/1/45313/1/2/ASPI%253A/13/1997%20Sb.%25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3223-A0FA-4B21-920F-1DDD7927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9697</Words>
  <Characters>57216</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Kontrolní závěr z kontrolní akce NKÚ č. 24/11 - Peněžní prostředky určené na kontrolní vážení vozidel na dálnicích a silnicích I. třídy a příjmy Státního fondu dopravní infrastruktury z pokut uložených v souvislosti s kontrolním vážením vozidel</vt:lpstr>
    </vt:vector>
  </TitlesOfParts>
  <Company>NKÚ</Company>
  <LinksUpToDate>false</LinksUpToDate>
  <CharactersWithSpaces>66780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24/11 - Peněžní prostředky určené na kontrolní vážení vozidel na dálnicích a silnicích I. třídy a příjmy Státního fondu dopravní infrastruktury z pokut uložených v souvislosti s kontrolním vážením vozidel</dc:title>
  <dc:subject>Kontrolní závěr z kontrolní akce NKÚ č. 24/11 - Peněžní prostředky určené na kontrolní vážení vozidel na dálnicích a silnicích I. třídy a příjmy Státního fondu dopravní infrastruktury z pokut uložených v souvislosti s kontrolním vážením vozidel</dc:subject>
  <dc:creator>nku@NKU.cz</dc:creator>
  <cp:keywords>kontrolní závěr; kontrolní vážení vozidel; dálnice; silnice I. třídy; SFDI; pokuty</cp:keywords>
  <dc:description/>
  <cp:lastModifiedBy>KOKRDA Daniel</cp:lastModifiedBy>
  <cp:revision>3</cp:revision>
  <cp:lastPrinted>2025-05-20T07:44:00Z</cp:lastPrinted>
  <dcterms:created xsi:type="dcterms:W3CDTF">2025-06-02T11:41:00Z</dcterms:created>
  <dcterms:modified xsi:type="dcterms:W3CDTF">2025-06-02T11:42:00Z</dcterms:modified>
</cp:coreProperties>
</file>